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6D0417D" w14:textId="716E5377" w:rsidR="00484251" w:rsidRPr="00946FD0" w:rsidRDefault="00484251" w:rsidP="00484251">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Pr="00B118A1">
        <w:rPr>
          <w:rFonts w:ascii="Arial" w:eastAsia="等线" w:hAnsi="Arial"/>
          <w:b/>
          <w:noProof/>
          <w:sz w:val="24"/>
          <w:szCs w:val="21"/>
        </w:rPr>
        <w:t>12</w:t>
      </w:r>
      <w:r>
        <w:rPr>
          <w:rFonts w:ascii="Arial" w:eastAsia="等线" w:hAnsi="Arial"/>
          <w:b/>
          <w:noProof/>
          <w:sz w:val="24"/>
          <w:szCs w:val="21"/>
        </w:rPr>
        <w:t>9</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D51661" w:rsidRPr="00D51661">
        <w:rPr>
          <w:rFonts w:ascii="Arial" w:eastAsia="等线" w:hAnsi="Arial"/>
          <w:b/>
          <w:noProof/>
          <w:sz w:val="24"/>
          <w:szCs w:val="21"/>
        </w:rPr>
        <w:t>R2-2500081</w:t>
      </w:r>
    </w:p>
    <w:p w14:paraId="6E6D23EF" w14:textId="24D45194" w:rsidR="00484251" w:rsidRPr="002D024B" w:rsidRDefault="00484251" w:rsidP="00484251">
      <w:pPr>
        <w:tabs>
          <w:tab w:val="left" w:pos="1985"/>
          <w:tab w:val="left" w:pos="8931"/>
        </w:tabs>
        <w:adjustRightInd w:val="0"/>
        <w:snapToGrid w:val="0"/>
        <w:spacing w:after="0" w:line="240" w:lineRule="auto"/>
        <w:rPr>
          <w:rFonts w:ascii="Arial" w:eastAsia="等线" w:hAnsi="Arial"/>
          <w:b/>
          <w:sz w:val="24"/>
          <w:szCs w:val="21"/>
        </w:rPr>
      </w:pPr>
      <w:r w:rsidRPr="008E02A8">
        <w:rPr>
          <w:rFonts w:ascii="Arial" w:eastAsia="等线" w:hAnsi="Arial"/>
          <w:b/>
          <w:sz w:val="24"/>
          <w:szCs w:val="21"/>
        </w:rPr>
        <w:t xml:space="preserve">Athens, </w:t>
      </w:r>
      <w:r w:rsidR="0047382A" w:rsidRPr="0047382A">
        <w:rPr>
          <w:rFonts w:ascii="Arial" w:eastAsia="等线" w:hAnsi="Arial"/>
          <w:b/>
          <w:sz w:val="24"/>
          <w:szCs w:val="21"/>
        </w:rPr>
        <w:t>Greece</w:t>
      </w:r>
      <w:r w:rsidRPr="009D0BF3">
        <w:rPr>
          <w:rFonts w:ascii="Arial" w:eastAsia="等线" w:hAnsi="Arial"/>
          <w:b/>
          <w:sz w:val="24"/>
          <w:szCs w:val="21"/>
        </w:rPr>
        <w:t xml:space="preserve">, </w:t>
      </w:r>
      <w:r w:rsidRPr="008E02A8">
        <w:rPr>
          <w:rFonts w:ascii="Arial" w:eastAsia="等线" w:hAnsi="Arial"/>
          <w:b/>
          <w:sz w:val="24"/>
          <w:szCs w:val="21"/>
        </w:rPr>
        <w:t>February</w:t>
      </w:r>
      <w:r w:rsidRPr="009D0BF3">
        <w:rPr>
          <w:rFonts w:ascii="Arial" w:eastAsia="等线" w:hAnsi="Arial"/>
          <w:b/>
          <w:sz w:val="24"/>
          <w:szCs w:val="21"/>
        </w:rPr>
        <w:t xml:space="preserve"> </w:t>
      </w:r>
      <w:r>
        <w:rPr>
          <w:rFonts w:ascii="Arial" w:eastAsia="等线" w:hAnsi="Arial"/>
          <w:b/>
          <w:sz w:val="24"/>
          <w:szCs w:val="21"/>
        </w:rPr>
        <w:t>17</w:t>
      </w:r>
      <w:r w:rsidRPr="009D0BF3">
        <w:rPr>
          <w:rFonts w:ascii="Arial" w:eastAsia="等线" w:hAnsi="Arial"/>
          <w:b/>
          <w:sz w:val="24"/>
          <w:szCs w:val="21"/>
          <w:vertAlign w:val="superscript"/>
        </w:rPr>
        <w:t>th</w:t>
      </w:r>
      <w:r w:rsidRPr="009D0BF3">
        <w:rPr>
          <w:rFonts w:ascii="Arial" w:eastAsia="等线" w:hAnsi="Arial"/>
          <w:b/>
          <w:sz w:val="24"/>
          <w:szCs w:val="21"/>
        </w:rPr>
        <w:t xml:space="preserve">– </w:t>
      </w:r>
      <w:r>
        <w:rPr>
          <w:rFonts w:ascii="Arial" w:eastAsia="等线" w:hAnsi="Arial"/>
          <w:b/>
          <w:sz w:val="24"/>
          <w:szCs w:val="21"/>
        </w:rPr>
        <w:t>21</w:t>
      </w:r>
      <w:r>
        <w:rPr>
          <w:rFonts w:ascii="Arial" w:eastAsia="等线" w:hAnsi="Arial"/>
          <w:b/>
          <w:sz w:val="24"/>
          <w:szCs w:val="21"/>
          <w:vertAlign w:val="superscript"/>
        </w:rPr>
        <w:t>st</w:t>
      </w:r>
      <w:r w:rsidRPr="009D0BF3">
        <w:rPr>
          <w:rFonts w:ascii="Arial" w:eastAsia="等线" w:hAnsi="Arial"/>
          <w:b/>
          <w:sz w:val="24"/>
          <w:szCs w:val="21"/>
        </w:rPr>
        <w:t>, 202</w:t>
      </w:r>
      <w:r>
        <w:rPr>
          <w:rFonts w:ascii="Arial" w:eastAsia="等线" w:hAnsi="Arial"/>
          <w:b/>
          <w:sz w:val="24"/>
          <w:szCs w:val="21"/>
        </w:rPr>
        <w:t>5</w:t>
      </w:r>
      <w:r w:rsidRPr="009D0BF3">
        <w:rPr>
          <w:rFonts w:ascii="Arial" w:eastAsia="等线" w:hAnsi="Arial"/>
          <w:b/>
          <w:sz w:val="24"/>
          <w:szCs w:val="21"/>
        </w:rPr>
        <w:t xml:space="preserve">                                 </w:t>
      </w:r>
    </w:p>
    <w:p w14:paraId="2A9CDBBA" w14:textId="77777777" w:rsidR="00FD5B3E" w:rsidRPr="00484251" w:rsidRDefault="00FD5B3E" w:rsidP="00FD5B3E">
      <w:pPr>
        <w:adjustRightInd w:val="0"/>
        <w:snapToGrid w:val="0"/>
        <w:spacing w:after="0" w:line="240" w:lineRule="auto"/>
        <w:ind w:left="1920" w:hangingChars="800" w:hanging="1920"/>
        <w:rPr>
          <w:rFonts w:ascii="Arial" w:hAnsi="Arial" w:cs="Arial"/>
          <w:b/>
          <w:bCs/>
          <w:sz w:val="24"/>
          <w:szCs w:val="24"/>
        </w:rPr>
      </w:pPr>
    </w:p>
    <w:p w14:paraId="19660951" w14:textId="718B0700"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9D0BF3" w:rsidRPr="009D0BF3">
        <w:rPr>
          <w:rFonts w:ascii="Arial" w:hAnsi="Arial" w:cs="Arial"/>
          <w:b/>
          <w:bCs/>
          <w:sz w:val="24"/>
          <w:szCs w:val="24"/>
          <w:lang w:val="en-US"/>
        </w:rPr>
        <w:t>8.8.6</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0344ECEA"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9D0BF3" w:rsidRPr="009D0BF3">
        <w:rPr>
          <w:rFonts w:ascii="Arial" w:hAnsi="Arial" w:cs="Arial"/>
          <w:b/>
          <w:bCs/>
          <w:sz w:val="24"/>
          <w:szCs w:val="24"/>
          <w:lang w:val="en-US"/>
        </w:rPr>
        <w:t>Discussion on Redirection from E-</w:t>
      </w:r>
      <w:proofErr w:type="spellStart"/>
      <w:r w:rsidR="009D0BF3" w:rsidRPr="009D0BF3">
        <w:rPr>
          <w:rFonts w:ascii="Arial" w:hAnsi="Arial" w:cs="Arial"/>
          <w:b/>
          <w:bCs/>
          <w:sz w:val="24"/>
          <w:szCs w:val="24"/>
          <w:lang w:val="en-US"/>
        </w:rPr>
        <w:t>UTRA</w:t>
      </w:r>
      <w:proofErr w:type="spellEnd"/>
      <w:r w:rsidR="009D0BF3" w:rsidRPr="009D0BF3">
        <w:rPr>
          <w:rFonts w:ascii="Arial" w:hAnsi="Arial" w:cs="Arial"/>
          <w:b/>
          <w:bCs/>
          <w:sz w:val="24"/>
          <w:szCs w:val="24"/>
          <w:lang w:val="en-US"/>
        </w:rPr>
        <w:t xml:space="preserve"> TN to NR-NTN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3A865A0B" w:rsidR="00173B5A" w:rsidRDefault="002B51A0"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In </w:t>
      </w:r>
      <w:r w:rsidR="002A7A7A">
        <w:rPr>
          <w:rStyle w:val="IvDbodytextChar"/>
          <w:rFonts w:ascii="Times New Roman" w:hAnsi="Times New Roman" w:cs="Times New Roman"/>
          <w:sz w:val="20"/>
          <w:szCs w:val="20"/>
          <w:lang w:eastAsia="zh-CN"/>
        </w:rPr>
        <w:t xml:space="preserve">the LTE TN to NR NTN idle mobility discussion in </w:t>
      </w:r>
      <w:proofErr w:type="spellStart"/>
      <w:r w:rsidR="002A7A7A">
        <w:rPr>
          <w:rStyle w:val="IvDbodytextChar"/>
          <w:rFonts w:ascii="Times New Roman" w:hAnsi="Times New Roman" w:cs="Times New Roman"/>
          <w:sz w:val="20"/>
          <w:szCs w:val="20"/>
          <w:lang w:eastAsia="zh-CN"/>
        </w:rPr>
        <w:t>R</w:t>
      </w:r>
      <w:r>
        <w:rPr>
          <w:rStyle w:val="IvDbodytextChar"/>
          <w:rFonts w:ascii="Times New Roman" w:hAnsi="Times New Roman" w:cs="Times New Roman"/>
          <w:sz w:val="20"/>
          <w:szCs w:val="20"/>
          <w:lang w:eastAsia="zh-CN"/>
        </w:rPr>
        <w:t>AN</w:t>
      </w:r>
      <w:r w:rsidR="00173B5A">
        <w:rPr>
          <w:rStyle w:val="IvDbodytextChar"/>
          <w:rFonts w:ascii="Times New Roman" w:hAnsi="Times New Roman" w:cs="Times New Roman"/>
          <w:sz w:val="20"/>
          <w:szCs w:val="20"/>
          <w:lang w:eastAsia="zh-CN"/>
        </w:rPr>
        <w:t>2</w:t>
      </w:r>
      <w:r>
        <w:rPr>
          <w:rStyle w:val="IvDbodytextChar"/>
          <w:rFonts w:ascii="Times New Roman" w:hAnsi="Times New Roman" w:cs="Times New Roman"/>
          <w:sz w:val="20"/>
          <w:szCs w:val="20"/>
          <w:lang w:eastAsia="zh-CN"/>
        </w:rPr>
        <w:t>#</w:t>
      </w:r>
      <w:r w:rsidR="00173B5A">
        <w:rPr>
          <w:rStyle w:val="IvDbodytextChar"/>
          <w:rFonts w:ascii="Times New Roman" w:hAnsi="Times New Roman" w:cs="Times New Roman"/>
          <w:sz w:val="20"/>
          <w:szCs w:val="20"/>
          <w:lang w:eastAsia="zh-CN"/>
        </w:rPr>
        <w:t>1</w:t>
      </w:r>
      <w:r w:rsidR="008C7A93">
        <w:rPr>
          <w:rStyle w:val="IvDbodytextChar"/>
          <w:rFonts w:ascii="Times New Roman" w:hAnsi="Times New Roman" w:cs="Times New Roman"/>
          <w:sz w:val="20"/>
          <w:szCs w:val="20"/>
          <w:lang w:eastAsia="zh-CN"/>
        </w:rPr>
        <w:t>2</w:t>
      </w:r>
      <w:r w:rsidR="00173B5A">
        <w:rPr>
          <w:rStyle w:val="IvDbodytextChar"/>
          <w:rFonts w:ascii="Times New Roman" w:hAnsi="Times New Roman" w:cs="Times New Roman"/>
          <w:sz w:val="20"/>
          <w:szCs w:val="20"/>
          <w:lang w:eastAsia="zh-CN"/>
        </w:rPr>
        <w:t>7bis</w:t>
      </w:r>
      <w:proofErr w:type="spellEnd"/>
      <w:r w:rsidR="001C201B">
        <w:rPr>
          <w:rStyle w:val="IvDbodytextChar"/>
          <w:rFonts w:ascii="Times New Roman" w:hAnsi="Times New Roman" w:cs="Times New Roman"/>
          <w:sz w:val="20"/>
          <w:szCs w:val="20"/>
          <w:lang w:eastAsia="zh-CN"/>
        </w:rPr>
        <w:t xml:space="preserve"> </w:t>
      </w:r>
      <w:r w:rsidR="001C201B" w:rsidRPr="001C5B2B">
        <w:rPr>
          <w:rStyle w:val="IvDbodytextChar"/>
          <w:rFonts w:ascii="Times New Roman" w:hAnsi="Times New Roman" w:cs="Times New Roman" w:hint="eastAsia"/>
          <w:sz w:val="20"/>
          <w:szCs w:val="20"/>
          <w:lang w:eastAsia="zh-CN"/>
        </w:rPr>
        <w:t>[</w:t>
      </w:r>
      <w:r w:rsidR="001C201B" w:rsidRPr="001C5B2B">
        <w:rPr>
          <w:rStyle w:val="IvDbodytextChar"/>
          <w:rFonts w:ascii="Times New Roman" w:hAnsi="Times New Roman" w:cs="Times New Roman"/>
          <w:sz w:val="20"/>
          <w:szCs w:val="20"/>
          <w:lang w:eastAsia="zh-CN"/>
        </w:rPr>
        <w:t>1]</w:t>
      </w:r>
      <w:r>
        <w:rPr>
          <w:rStyle w:val="IvDbodytextChar"/>
          <w:rFonts w:ascii="Times New Roman" w:hAnsi="Times New Roman" w:cs="Times New Roman"/>
          <w:sz w:val="20"/>
          <w:szCs w:val="20"/>
          <w:lang w:eastAsia="zh-CN"/>
        </w:rPr>
        <w:t>,</w:t>
      </w:r>
      <w:r w:rsidR="002A7A7A">
        <w:rPr>
          <w:rStyle w:val="IvDbodytextChar"/>
          <w:rFonts w:ascii="Times New Roman" w:hAnsi="Times New Roman" w:cs="Times New Roman"/>
          <w:sz w:val="20"/>
          <w:szCs w:val="20"/>
          <w:lang w:eastAsia="zh-CN"/>
        </w:rPr>
        <w:t xml:space="preserve"> </w:t>
      </w:r>
      <w:r w:rsidR="00020664">
        <w:rPr>
          <w:rStyle w:val="IvDbodytextChar"/>
          <w:rFonts w:ascii="Times New Roman" w:hAnsi="Times New Roman" w:cs="Times New Roman"/>
          <w:sz w:val="20"/>
          <w:szCs w:val="20"/>
          <w:lang w:eastAsia="zh-CN"/>
        </w:rPr>
        <w:t xml:space="preserve">whether to support the redirection from LTE TN to NR NTN was discussed. However, </w:t>
      </w:r>
      <w:r w:rsidR="0017342D">
        <w:rPr>
          <w:rStyle w:val="IvDbodytextChar"/>
          <w:rFonts w:ascii="Times New Roman" w:hAnsi="Times New Roman" w:cs="Times New Roman"/>
          <w:sz w:val="20"/>
          <w:szCs w:val="20"/>
          <w:lang w:eastAsia="zh-CN"/>
        </w:rPr>
        <w:t xml:space="preserve">due to </w:t>
      </w:r>
      <w:r w:rsidR="00446DDF">
        <w:rPr>
          <w:rStyle w:val="IvDbodytextChar"/>
          <w:rFonts w:ascii="Times New Roman" w:hAnsi="Times New Roman" w:cs="Times New Roman"/>
          <w:sz w:val="20"/>
          <w:szCs w:val="20"/>
          <w:lang w:eastAsia="zh-CN"/>
        </w:rPr>
        <w:t>some</w:t>
      </w:r>
      <w:r w:rsidR="0017342D">
        <w:rPr>
          <w:rStyle w:val="IvDbodytextChar"/>
          <w:rFonts w:ascii="Times New Roman" w:hAnsi="Times New Roman" w:cs="Times New Roman"/>
          <w:sz w:val="20"/>
          <w:szCs w:val="20"/>
          <w:lang w:eastAsia="zh-CN"/>
        </w:rPr>
        <w:t xml:space="preserve"> </w:t>
      </w:r>
      <w:r w:rsidR="0017342D" w:rsidRPr="0017342D">
        <w:rPr>
          <w:rStyle w:val="IvDbodytextChar"/>
          <w:rFonts w:ascii="Times New Roman" w:hAnsi="Times New Roman" w:cs="Times New Roman"/>
          <w:sz w:val="20"/>
          <w:szCs w:val="20"/>
          <w:lang w:eastAsia="zh-CN"/>
        </w:rPr>
        <w:t>controversy</w:t>
      </w:r>
      <w:r w:rsidR="0017342D">
        <w:rPr>
          <w:rStyle w:val="IvDbodytextChar"/>
          <w:rFonts w:ascii="Times New Roman" w:hAnsi="Times New Roman" w:cs="Times New Roman"/>
          <w:sz w:val="20"/>
          <w:szCs w:val="20"/>
          <w:lang w:eastAsia="zh-CN"/>
        </w:rPr>
        <w:t>, the issue w</w:t>
      </w:r>
      <w:r w:rsidR="0090662A">
        <w:rPr>
          <w:rStyle w:val="IvDbodytextChar"/>
          <w:rFonts w:ascii="Times New Roman" w:hAnsi="Times New Roman" w:cs="Times New Roman"/>
          <w:sz w:val="20"/>
          <w:szCs w:val="20"/>
          <w:lang w:eastAsia="zh-CN"/>
        </w:rPr>
        <w:t>as</w:t>
      </w:r>
      <w:r w:rsidR="0017342D">
        <w:rPr>
          <w:rStyle w:val="IvDbodytextChar"/>
          <w:rFonts w:ascii="Times New Roman" w:hAnsi="Times New Roman" w:cs="Times New Roman"/>
          <w:sz w:val="20"/>
          <w:szCs w:val="20"/>
          <w:lang w:eastAsia="zh-CN"/>
        </w:rPr>
        <w:t xml:space="preserve"> postponed.</w:t>
      </w:r>
    </w:p>
    <w:tbl>
      <w:tblPr>
        <w:tblStyle w:val="af3"/>
        <w:tblW w:w="0" w:type="auto"/>
        <w:tblLook w:val="04A0" w:firstRow="1" w:lastRow="0" w:firstColumn="1" w:lastColumn="0" w:noHBand="0" w:noVBand="1"/>
      </w:tblPr>
      <w:tblGrid>
        <w:gridCol w:w="9629"/>
      </w:tblGrid>
      <w:tr w:rsidR="0017342D" w14:paraId="51C50C51" w14:textId="77777777" w:rsidTr="0017342D">
        <w:tc>
          <w:tcPr>
            <w:tcW w:w="9629" w:type="dxa"/>
          </w:tcPr>
          <w:p w14:paraId="5046585B" w14:textId="77777777" w:rsidR="0017342D" w:rsidRPr="0017342D" w:rsidRDefault="0017342D" w:rsidP="0017342D">
            <w:pPr>
              <w:spacing w:before="40" w:after="0" w:line="240" w:lineRule="auto"/>
              <w:rPr>
                <w:rFonts w:eastAsia="MS Mincho"/>
                <w:i/>
                <w:lang w:eastAsia="en-GB"/>
              </w:rPr>
            </w:pPr>
            <w:r w:rsidRPr="0017342D">
              <w:rPr>
                <w:rFonts w:eastAsia="MS Mincho"/>
                <w:i/>
                <w:lang w:eastAsia="en-GB"/>
              </w:rPr>
              <w:t xml:space="preserve">Proposal 3: </w:t>
            </w:r>
            <w:proofErr w:type="spellStart"/>
            <w:r w:rsidRPr="0017342D">
              <w:rPr>
                <w:rFonts w:eastAsia="MS Mincho"/>
                <w:i/>
                <w:lang w:eastAsia="en-GB"/>
              </w:rPr>
              <w:t>RAN2</w:t>
            </w:r>
            <w:proofErr w:type="spellEnd"/>
            <w:r w:rsidRPr="0017342D">
              <w:rPr>
                <w:rFonts w:eastAsia="MS Mincho"/>
                <w:i/>
                <w:lang w:eastAsia="en-GB"/>
              </w:rPr>
              <w:t xml:space="preserve"> confirms the understanding that dedicated NR NTN frequency is not configured in the </w:t>
            </w:r>
            <w:proofErr w:type="spellStart"/>
            <w:r w:rsidRPr="0017342D">
              <w:rPr>
                <w:rFonts w:eastAsia="MS Mincho"/>
                <w:i/>
                <w:lang w:eastAsia="en-GB"/>
              </w:rPr>
              <w:t>RRCConnectionRelease</w:t>
            </w:r>
            <w:proofErr w:type="spellEnd"/>
            <w:r w:rsidRPr="0017342D">
              <w:rPr>
                <w:rFonts w:eastAsia="MS Mincho"/>
                <w:i/>
                <w:lang w:eastAsia="en-GB"/>
              </w:rPr>
              <w:t xml:space="preserve"> message, and confirms that this can be left to NW implementation (w/o Spec impact).</w:t>
            </w:r>
          </w:p>
          <w:p w14:paraId="35B86F5B" w14:textId="77777777" w:rsidR="0017342D" w:rsidRPr="0017342D" w:rsidRDefault="0017342D" w:rsidP="0017342D">
            <w:pPr>
              <w:tabs>
                <w:tab w:val="left" w:pos="1622"/>
              </w:tabs>
              <w:spacing w:after="0" w:line="240" w:lineRule="auto"/>
              <w:ind w:left="1622" w:hanging="363"/>
              <w:rPr>
                <w:rFonts w:eastAsia="MS Mincho"/>
                <w:lang w:eastAsia="en-GB"/>
              </w:rPr>
            </w:pPr>
            <w:r w:rsidRPr="0017342D">
              <w:rPr>
                <w:rFonts w:eastAsia="MS Mincho"/>
                <w:lang w:eastAsia="en-GB"/>
              </w:rPr>
              <w:t>-</w:t>
            </w:r>
            <w:r w:rsidRPr="0017342D">
              <w:rPr>
                <w:rFonts w:eastAsia="MS Mincho"/>
                <w:lang w:eastAsia="en-GB"/>
              </w:rPr>
              <w:tab/>
              <w:t>QC is ok with this but thinks it’s fine to clarify this somewhere</w:t>
            </w:r>
          </w:p>
          <w:p w14:paraId="7F94B6CB" w14:textId="77777777" w:rsidR="0017342D" w:rsidRPr="0017342D" w:rsidRDefault="0017342D" w:rsidP="0017342D">
            <w:pPr>
              <w:tabs>
                <w:tab w:val="left" w:pos="1622"/>
              </w:tabs>
              <w:spacing w:after="0" w:line="240" w:lineRule="auto"/>
              <w:ind w:left="1622" w:hanging="363"/>
              <w:rPr>
                <w:rFonts w:eastAsia="MS Mincho"/>
                <w:lang w:eastAsia="en-GB"/>
              </w:rPr>
            </w:pPr>
            <w:r w:rsidRPr="0017342D">
              <w:rPr>
                <w:rFonts w:eastAsia="MS Mincho"/>
                <w:lang w:eastAsia="en-GB"/>
              </w:rPr>
              <w:t>-</w:t>
            </w:r>
            <w:r w:rsidRPr="0017342D">
              <w:rPr>
                <w:rFonts w:eastAsia="MS Mincho"/>
                <w:lang w:eastAsia="en-GB"/>
              </w:rPr>
              <w:tab/>
              <w:t xml:space="preserve">Samsung thinks we should separate the case of providing dedicated frequencies from the redirection case. Xiaomi agrees, redirection could be performed providing assistance information in the release message. LG shares similar view as Samsung but thinks the NW does not need to provide assistance info </w:t>
            </w:r>
          </w:p>
          <w:p w14:paraId="0735878E" w14:textId="77777777" w:rsidR="0017342D" w:rsidRPr="0017342D" w:rsidRDefault="0017342D" w:rsidP="0017342D">
            <w:pPr>
              <w:tabs>
                <w:tab w:val="left" w:pos="1622"/>
              </w:tabs>
              <w:spacing w:after="0" w:line="240" w:lineRule="auto"/>
              <w:ind w:left="1622" w:hanging="363"/>
              <w:rPr>
                <w:rFonts w:eastAsia="MS Mincho"/>
                <w:lang w:eastAsia="en-GB"/>
              </w:rPr>
            </w:pPr>
            <w:r w:rsidRPr="0017342D">
              <w:rPr>
                <w:rFonts w:eastAsia="MS Mincho"/>
                <w:lang w:eastAsia="en-GB"/>
              </w:rPr>
              <w:t>-</w:t>
            </w:r>
            <w:r w:rsidRPr="0017342D">
              <w:rPr>
                <w:rFonts w:eastAsia="MS Mincho"/>
                <w:lang w:eastAsia="en-GB"/>
              </w:rPr>
              <w:tab/>
              <w:t>China Telecom thinks satellite information would be needed to support redirection to NR NTN</w:t>
            </w:r>
          </w:p>
          <w:p w14:paraId="2B9E052A" w14:textId="77777777" w:rsidR="0017342D" w:rsidRPr="0017342D" w:rsidRDefault="0017342D" w:rsidP="0017342D">
            <w:pPr>
              <w:tabs>
                <w:tab w:val="left" w:pos="1622"/>
              </w:tabs>
              <w:spacing w:after="0" w:line="240" w:lineRule="auto"/>
              <w:ind w:left="1622" w:hanging="363"/>
              <w:rPr>
                <w:rFonts w:eastAsia="MS Mincho"/>
                <w:lang w:eastAsia="en-GB"/>
              </w:rPr>
            </w:pPr>
            <w:r w:rsidRPr="0017342D">
              <w:rPr>
                <w:rFonts w:eastAsia="MS Mincho"/>
                <w:lang w:eastAsia="en-GB"/>
              </w:rPr>
              <w:t>-</w:t>
            </w:r>
            <w:r w:rsidRPr="0017342D">
              <w:rPr>
                <w:rFonts w:eastAsia="MS Mincho"/>
                <w:lang w:eastAsia="en-GB"/>
              </w:rPr>
              <w:tab/>
              <w:t>QC thinks that either we go for proposal 3 or we need to introduce a UE capability for this.</w:t>
            </w:r>
          </w:p>
          <w:p w14:paraId="2976E893" w14:textId="4B3D9955" w:rsidR="0017342D" w:rsidRPr="0017342D" w:rsidRDefault="0017342D" w:rsidP="0017342D">
            <w:pPr>
              <w:tabs>
                <w:tab w:val="left" w:pos="1619"/>
              </w:tabs>
              <w:spacing w:before="60" w:after="0" w:line="240" w:lineRule="auto"/>
              <w:ind w:left="1619" w:hanging="360"/>
              <w:rPr>
                <w:rStyle w:val="IvDbodytextChar"/>
                <w:rFonts w:eastAsia="MS Mincho" w:cs="Times New Roman"/>
                <w:b/>
                <w:spacing w:val="0"/>
                <w:kern w:val="0"/>
                <w:sz w:val="20"/>
                <w:szCs w:val="24"/>
                <w:lang w:eastAsia="en-GB"/>
              </w:rPr>
            </w:pPr>
            <w:r w:rsidRPr="0017342D">
              <w:rPr>
                <w:rFonts w:eastAsia="MS Mincho"/>
                <w:b/>
                <w:lang w:eastAsia="en-GB"/>
              </w:rPr>
              <w:t>Come back in the next meeting</w:t>
            </w:r>
          </w:p>
        </w:tc>
      </w:tr>
    </w:tbl>
    <w:p w14:paraId="002CFCF0" w14:textId="35253FC7" w:rsidR="00484251" w:rsidRDefault="00484251" w:rsidP="00B2458E">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In </w:t>
      </w:r>
      <w:proofErr w:type="spellStart"/>
      <w:r>
        <w:rPr>
          <w:rStyle w:val="IvDbodytextChar"/>
          <w:rFonts w:ascii="Times New Roman" w:hAnsi="Times New Roman" w:cs="Times New Roman"/>
          <w:sz w:val="20"/>
          <w:szCs w:val="20"/>
          <w:lang w:eastAsia="zh-CN"/>
        </w:rPr>
        <w:t>RAN2#128</w:t>
      </w:r>
      <w:proofErr w:type="spellEnd"/>
      <w:r>
        <w:rPr>
          <w:rStyle w:val="IvDbodytextChar"/>
          <w:rFonts w:ascii="Times New Roman" w:hAnsi="Times New Roman" w:cs="Times New Roman"/>
          <w:sz w:val="20"/>
          <w:szCs w:val="20"/>
          <w:lang w:eastAsia="zh-CN"/>
        </w:rPr>
        <w:t xml:space="preserve"> [2], the issue was discussed and the following agreements were made.</w:t>
      </w:r>
      <w:r w:rsidR="00CC7F15">
        <w:rPr>
          <w:rStyle w:val="IvDbodytextChar"/>
          <w:rFonts w:ascii="Times New Roman" w:hAnsi="Times New Roman" w:cs="Times New Roman"/>
          <w:sz w:val="20"/>
          <w:szCs w:val="20"/>
          <w:lang w:eastAsia="zh-CN"/>
        </w:rPr>
        <w:t xml:space="preserve"> However, the UE behaviour is still unclear. </w:t>
      </w:r>
    </w:p>
    <w:tbl>
      <w:tblPr>
        <w:tblStyle w:val="af3"/>
        <w:tblW w:w="0" w:type="auto"/>
        <w:tblLook w:val="04A0" w:firstRow="1" w:lastRow="0" w:firstColumn="1" w:lastColumn="0" w:noHBand="0" w:noVBand="1"/>
      </w:tblPr>
      <w:tblGrid>
        <w:gridCol w:w="9629"/>
      </w:tblGrid>
      <w:tr w:rsidR="00484251" w14:paraId="73BDFFFA" w14:textId="77777777" w:rsidTr="00484251">
        <w:tc>
          <w:tcPr>
            <w:tcW w:w="9629" w:type="dxa"/>
          </w:tcPr>
          <w:p w14:paraId="36B5B3C3" w14:textId="2BE67975" w:rsidR="00484251" w:rsidRPr="00D34F2D" w:rsidRDefault="00CC7F15" w:rsidP="00CC7F15">
            <w:pPr>
              <w:tabs>
                <w:tab w:val="left" w:pos="1619"/>
              </w:tabs>
              <w:spacing w:before="60" w:after="0" w:line="240" w:lineRule="auto"/>
              <w:rPr>
                <w:rStyle w:val="IvDbodytextChar"/>
                <w:rFonts w:ascii="Times New Roman" w:eastAsia="MS Mincho" w:hAnsi="Times New Roman" w:cs="Times New Roman"/>
                <w:b/>
                <w:spacing w:val="0"/>
                <w:kern w:val="0"/>
                <w:sz w:val="20"/>
                <w:szCs w:val="24"/>
                <w:lang w:eastAsia="en-GB"/>
              </w:rPr>
            </w:pPr>
            <w:proofErr w:type="spellStart"/>
            <w:r w:rsidRPr="00CC7F15">
              <w:rPr>
                <w:rFonts w:eastAsia="MS Mincho"/>
                <w:b/>
                <w:szCs w:val="24"/>
                <w:lang w:eastAsia="en-GB"/>
              </w:rPr>
              <w:t>RAN2</w:t>
            </w:r>
            <w:proofErr w:type="spellEnd"/>
            <w:r w:rsidRPr="00CC7F15">
              <w:rPr>
                <w:rFonts w:eastAsia="MS Mincho"/>
                <w:b/>
                <w:szCs w:val="24"/>
                <w:lang w:eastAsia="en-GB"/>
              </w:rPr>
              <w:t xml:space="preserve"> understands that the UE behaviour is currently not clear if the network includes a NR NTN frequency in </w:t>
            </w:r>
            <w:proofErr w:type="spellStart"/>
            <w:r w:rsidRPr="00CC7F15">
              <w:rPr>
                <w:rFonts w:eastAsia="MS Mincho"/>
                <w:b/>
                <w:szCs w:val="24"/>
                <w:lang w:eastAsia="en-GB"/>
              </w:rPr>
              <w:t>redirectedCarrierInfo</w:t>
            </w:r>
            <w:proofErr w:type="spellEnd"/>
            <w:r w:rsidRPr="00CC7F15">
              <w:rPr>
                <w:rFonts w:eastAsia="MS Mincho"/>
                <w:b/>
                <w:szCs w:val="24"/>
                <w:lang w:eastAsia="en-GB"/>
              </w:rPr>
              <w:t xml:space="preserve"> in the </w:t>
            </w:r>
            <w:proofErr w:type="spellStart"/>
            <w:r w:rsidRPr="00CC7F15">
              <w:rPr>
                <w:rFonts w:eastAsia="MS Mincho"/>
                <w:b/>
                <w:szCs w:val="24"/>
                <w:lang w:eastAsia="en-GB"/>
              </w:rPr>
              <w:t>RRCConnectionRelease</w:t>
            </w:r>
            <w:proofErr w:type="spellEnd"/>
            <w:r w:rsidRPr="00CC7F15">
              <w:rPr>
                <w:rFonts w:eastAsia="MS Mincho"/>
                <w:b/>
                <w:szCs w:val="24"/>
                <w:lang w:eastAsia="en-GB"/>
              </w:rPr>
              <w:t xml:space="preserve"> message in a TN cell. We can further discuss whether we want to clarify the UE behaviour and in case whether we need to introduce a new UE capability.</w:t>
            </w:r>
          </w:p>
        </w:tc>
      </w:tr>
    </w:tbl>
    <w:p w14:paraId="767947EB" w14:textId="16A0FC36" w:rsidR="0022503C" w:rsidRPr="00B2458E" w:rsidRDefault="00D139B4" w:rsidP="00B2458E">
      <w:pPr>
        <w:spacing w:before="120" w:after="120" w:line="240" w:lineRule="auto"/>
        <w:jc w:val="both"/>
      </w:pPr>
      <w:r w:rsidRPr="00B2458E">
        <w:t xml:space="preserve">In the contribution, we </w:t>
      </w:r>
      <w:r w:rsidR="001453F8">
        <w:t xml:space="preserve">will </w:t>
      </w:r>
      <w:r w:rsidR="00CA2058">
        <w:t>analyse</w:t>
      </w:r>
      <w:r w:rsidR="005473D0">
        <w:t xml:space="preserve"> the issue and give our view</w:t>
      </w:r>
      <w:r w:rsidRPr="00B2458E">
        <w:t>.</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045D551F" w14:textId="13278601" w:rsidR="00762B4C" w:rsidRDefault="00C82AB8" w:rsidP="00F74E1B">
      <w:pPr>
        <w:spacing w:after="120" w:line="240" w:lineRule="auto"/>
        <w:jc w:val="both"/>
      </w:pPr>
      <w:r>
        <w:t xml:space="preserve">According to </w:t>
      </w:r>
      <w:r w:rsidR="00EE3C9E">
        <w:t xml:space="preserve">TS </w:t>
      </w:r>
      <w:r>
        <w:t>36.331 [</w:t>
      </w:r>
      <w:r w:rsidR="00D34F2D">
        <w:t>3</w:t>
      </w:r>
      <w:r w:rsidR="005814A2">
        <w:t>]</w:t>
      </w:r>
      <w:r>
        <w:t xml:space="preserve">, the NR frequency can be configured by NW in the </w:t>
      </w:r>
      <w:proofErr w:type="spellStart"/>
      <w:r>
        <w:t>RRCConnectionRelease</w:t>
      </w:r>
      <w:proofErr w:type="spellEnd"/>
      <w:r>
        <w:t xml:space="preserve"> message [3], and there is no restriction on whether the NR frequency is for TN or NTN.</w:t>
      </w:r>
      <w:r w:rsidR="00B66B2E">
        <w:t xml:space="preserve"> </w:t>
      </w:r>
      <w:r w:rsidR="00D34F2D">
        <w:t>This also align</w:t>
      </w:r>
      <w:r w:rsidR="00CA2058">
        <w:t>s</w:t>
      </w:r>
      <w:r w:rsidR="00D34F2D">
        <w:t xml:space="preserve"> with the agreements made in </w:t>
      </w:r>
      <w:r w:rsidR="00CA2058">
        <w:t xml:space="preserve">the </w:t>
      </w:r>
      <w:r w:rsidR="00D34F2D">
        <w:t xml:space="preserve">last meeting [2]. </w:t>
      </w:r>
    </w:p>
    <w:tbl>
      <w:tblPr>
        <w:tblStyle w:val="af3"/>
        <w:tblW w:w="0" w:type="auto"/>
        <w:tblLook w:val="04A0" w:firstRow="1" w:lastRow="0" w:firstColumn="1" w:lastColumn="0" w:noHBand="0" w:noVBand="1"/>
      </w:tblPr>
      <w:tblGrid>
        <w:gridCol w:w="9629"/>
      </w:tblGrid>
      <w:tr w:rsidR="00762B4C" w14:paraId="29D50E48" w14:textId="77777777" w:rsidTr="00553AE1">
        <w:tc>
          <w:tcPr>
            <w:tcW w:w="9629" w:type="dxa"/>
          </w:tcPr>
          <w:p w14:paraId="44C82B3C"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RedirectedCarrierInfo ::=</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CHOICE {</w:t>
            </w:r>
          </w:p>
          <w:p w14:paraId="4E2F815A"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eutra</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ARFCN-ValueEUTRA,</w:t>
            </w:r>
          </w:p>
          <w:p w14:paraId="0F822A65"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geran</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CarrierFreqsGERAN,</w:t>
            </w:r>
          </w:p>
          <w:p w14:paraId="0FA13039"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utra-FDD</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ARFCN-ValueUTRA,</w:t>
            </w:r>
          </w:p>
          <w:p w14:paraId="35C3B1C8"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utra-TDD</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ARFCN-ValueUTRA,</w:t>
            </w:r>
          </w:p>
          <w:p w14:paraId="2F880C8A"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cdma2000-HRPD</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CarrierFreqCDMA2000,</w:t>
            </w:r>
          </w:p>
          <w:p w14:paraId="1155DD88"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cdma2000-1xRTT</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CarrierFreqCDMA2000,</w:t>
            </w:r>
          </w:p>
          <w:p w14:paraId="26206441"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w:t>
            </w:r>
          </w:p>
          <w:p w14:paraId="43B2CDC8"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utra-TDD-r10</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CarrierFreqListUTRA-TDD-r10,</w:t>
            </w:r>
          </w:p>
          <w:p w14:paraId="3D8D4607"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highlight w:val="yellow"/>
                <w:lang w:eastAsia="ja-JP"/>
              </w:rPr>
            </w:pPr>
            <w:r w:rsidRPr="00855AFC">
              <w:rPr>
                <w:rFonts w:ascii="Courier New" w:eastAsia="Times New Roman" w:hAnsi="Courier New"/>
                <w:noProof/>
                <w:sz w:val="16"/>
                <w:lang w:eastAsia="ja-JP"/>
              </w:rPr>
              <w:tab/>
            </w:r>
            <w:r w:rsidRPr="00855AFC">
              <w:rPr>
                <w:rFonts w:ascii="Courier New" w:eastAsia="Times New Roman" w:hAnsi="Courier New"/>
                <w:noProof/>
                <w:sz w:val="16"/>
                <w:highlight w:val="yellow"/>
                <w:lang w:eastAsia="ja-JP"/>
              </w:rPr>
              <w:t>nr-r15</w:t>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t>CarrierInfoNR-r15,</w:t>
            </w:r>
          </w:p>
          <w:p w14:paraId="6FC4423F"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r>
            <w:r w:rsidRPr="00855AFC">
              <w:rPr>
                <w:rFonts w:ascii="Courier New" w:eastAsia="Times New Roman" w:hAnsi="Courier New"/>
                <w:noProof/>
                <w:sz w:val="16"/>
                <w:highlight w:val="yellow"/>
                <w:lang w:eastAsia="ja-JP"/>
              </w:rPr>
              <w:t>nr-r17</w:t>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t>CarrierInfoNR-r17</w:t>
            </w:r>
          </w:p>
          <w:p w14:paraId="572E6492"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w:t>
            </w:r>
          </w:p>
        </w:tc>
      </w:tr>
    </w:tbl>
    <w:p w14:paraId="2F0E3622" w14:textId="77226DA1" w:rsidR="00D34F2D" w:rsidRDefault="00D34F2D" w:rsidP="00D34F2D">
      <w:pPr>
        <w:spacing w:after="120" w:line="240" w:lineRule="auto"/>
        <w:jc w:val="both"/>
        <w:rPr>
          <w:b/>
          <w:bCs/>
        </w:rPr>
      </w:pPr>
      <w:r w:rsidRPr="00855AFC">
        <w:rPr>
          <w:b/>
          <w:bCs/>
        </w:rPr>
        <w:t xml:space="preserve">Observation 1: </w:t>
      </w:r>
      <w:r>
        <w:rPr>
          <w:b/>
          <w:bCs/>
        </w:rPr>
        <w:t>Up to implementation, NW configure</w:t>
      </w:r>
      <w:r w:rsidR="00C0713B">
        <w:rPr>
          <w:b/>
          <w:bCs/>
        </w:rPr>
        <w:t>s</w:t>
      </w:r>
      <w:r>
        <w:rPr>
          <w:b/>
          <w:bCs/>
        </w:rPr>
        <w:t xml:space="preserve"> the NTN frequency within the redirection information within the </w:t>
      </w:r>
      <w:proofErr w:type="spellStart"/>
      <w:r>
        <w:rPr>
          <w:b/>
          <w:bCs/>
        </w:rPr>
        <w:t>RRCConnectionRelease</w:t>
      </w:r>
      <w:proofErr w:type="spellEnd"/>
      <w:r>
        <w:rPr>
          <w:b/>
          <w:bCs/>
        </w:rPr>
        <w:t xml:space="preserve"> message.</w:t>
      </w:r>
    </w:p>
    <w:p w14:paraId="1F1FBC8A" w14:textId="2D5D8209" w:rsidR="00D34F2D" w:rsidRDefault="00D34F2D" w:rsidP="00EB37B9">
      <w:pPr>
        <w:spacing w:before="120" w:after="120" w:line="240" w:lineRule="auto"/>
        <w:jc w:val="both"/>
      </w:pPr>
      <w:r>
        <w:t xml:space="preserve">Besides, according to </w:t>
      </w:r>
      <w:proofErr w:type="spellStart"/>
      <w:r>
        <w:t>RAN4</w:t>
      </w:r>
      <w:proofErr w:type="spellEnd"/>
      <w:r>
        <w:t xml:space="preserve"> spec [4] [5], the TN carrier frequency may overlap with the NTN frequency range. And since </w:t>
      </w:r>
      <w:r w:rsidR="00F65BFF">
        <w:t xml:space="preserve">the </w:t>
      </w:r>
      <w:r>
        <w:t xml:space="preserve">network only </w:t>
      </w:r>
      <w:r w:rsidR="00F65BFF">
        <w:t>provides</w:t>
      </w:r>
      <w:r>
        <w:t xml:space="preserve"> the NR frequency range to UE in the redirection information, UE may not distinguish whether this is </w:t>
      </w:r>
      <w:r w:rsidR="00F65BFF">
        <w:t>an</w:t>
      </w:r>
      <w:r>
        <w:t xml:space="preserve"> NR TN frequency or </w:t>
      </w:r>
      <w:r w:rsidR="00F65BFF">
        <w:t>an</w:t>
      </w:r>
      <w:r>
        <w:t xml:space="preserve"> NR NTN frequency. </w:t>
      </w:r>
    </w:p>
    <w:tbl>
      <w:tblPr>
        <w:tblStyle w:val="af3"/>
        <w:tblW w:w="0" w:type="auto"/>
        <w:tblLook w:val="04A0" w:firstRow="1" w:lastRow="0" w:firstColumn="1" w:lastColumn="0" w:noHBand="0" w:noVBand="1"/>
      </w:tblPr>
      <w:tblGrid>
        <w:gridCol w:w="9629"/>
      </w:tblGrid>
      <w:tr w:rsidR="00D34F2D" w14:paraId="4652E1E5" w14:textId="77777777" w:rsidTr="00D34F2D">
        <w:tc>
          <w:tcPr>
            <w:tcW w:w="9629" w:type="dxa"/>
          </w:tcPr>
          <w:p w14:paraId="3EC7D201" w14:textId="77777777" w:rsidR="00D34F2D" w:rsidRPr="00A1115A" w:rsidRDefault="00D34F2D" w:rsidP="00D34F2D">
            <w:pPr>
              <w:pStyle w:val="TH"/>
              <w:keepNext w:val="0"/>
              <w:keepLines w:val="0"/>
              <w:widowControl w:val="0"/>
            </w:pPr>
            <w:r w:rsidRPr="00A1115A">
              <w:t xml:space="preserve">Table 5.2-1: NR operating bands in </w:t>
            </w:r>
            <w:proofErr w:type="spellStart"/>
            <w:r w:rsidRPr="00A1115A">
              <w:t>FR1</w:t>
            </w:r>
            <w:proofErr w:type="spellEnd"/>
          </w:p>
          <w:tbl>
            <w:tblPr>
              <w:tblW w:w="7737" w:type="dxa"/>
              <w:jc w:val="center"/>
              <w:tblLook w:val="04A0" w:firstRow="1" w:lastRow="0" w:firstColumn="1" w:lastColumn="0" w:noHBand="0" w:noVBand="1"/>
            </w:tblPr>
            <w:tblGrid>
              <w:gridCol w:w="1161"/>
              <w:gridCol w:w="2715"/>
              <w:gridCol w:w="2953"/>
              <w:gridCol w:w="908"/>
            </w:tblGrid>
            <w:tr w:rsidR="00D34F2D" w:rsidRPr="00A1115A" w14:paraId="09C154BD" w14:textId="77777777" w:rsidTr="005225A2">
              <w:trPr>
                <w:trHeight w:val="187"/>
                <w:jc w:val="center"/>
              </w:trPr>
              <w:tc>
                <w:tcPr>
                  <w:tcW w:w="1161" w:type="dxa"/>
                  <w:tcBorders>
                    <w:top w:val="single" w:sz="4" w:space="0" w:color="auto"/>
                    <w:left w:val="single" w:sz="4" w:space="0" w:color="auto"/>
                    <w:bottom w:val="nil"/>
                    <w:right w:val="single" w:sz="4" w:space="0" w:color="auto"/>
                  </w:tcBorders>
                  <w:hideMark/>
                </w:tcPr>
                <w:p w14:paraId="12D04137" w14:textId="77777777" w:rsidR="00D34F2D" w:rsidRPr="00A1115A" w:rsidRDefault="00D34F2D" w:rsidP="00D34F2D">
                  <w:pPr>
                    <w:pStyle w:val="TAH"/>
                    <w:keepNext w:val="0"/>
                    <w:keepLines w:val="0"/>
                    <w:widowControl w:val="0"/>
                  </w:pPr>
                  <w:r w:rsidRPr="00A1115A">
                    <w:t xml:space="preserve">NR operating </w:t>
                  </w:r>
                  <w:r w:rsidRPr="00A1115A">
                    <w:lastRenderedPageBreak/>
                    <w:t>band</w:t>
                  </w:r>
                </w:p>
              </w:tc>
              <w:tc>
                <w:tcPr>
                  <w:tcW w:w="2715" w:type="dxa"/>
                  <w:tcBorders>
                    <w:top w:val="single" w:sz="4" w:space="0" w:color="auto"/>
                    <w:left w:val="single" w:sz="4" w:space="0" w:color="auto"/>
                    <w:bottom w:val="single" w:sz="4" w:space="0" w:color="auto"/>
                    <w:right w:val="single" w:sz="4" w:space="0" w:color="auto"/>
                  </w:tcBorders>
                  <w:hideMark/>
                </w:tcPr>
                <w:p w14:paraId="5A628E15" w14:textId="77777777" w:rsidR="00D34F2D" w:rsidRPr="00A1115A" w:rsidRDefault="00D34F2D" w:rsidP="00D34F2D">
                  <w:pPr>
                    <w:pStyle w:val="TAH"/>
                    <w:keepNext w:val="0"/>
                    <w:keepLines w:val="0"/>
                    <w:widowControl w:val="0"/>
                  </w:pPr>
                  <w:r w:rsidRPr="00A1115A">
                    <w:lastRenderedPageBreak/>
                    <w:t xml:space="preserve">Uplink (UL) </w:t>
                  </w:r>
                  <w:r w:rsidRPr="00A1115A">
                    <w:rPr>
                      <w:i/>
                    </w:rPr>
                    <w:t>operating band</w:t>
                  </w:r>
                  <w:r w:rsidRPr="00A1115A">
                    <w:br/>
                    <w:t>BS receive / UE transmit</w:t>
                  </w:r>
                </w:p>
                <w:p w14:paraId="11F190D3" w14:textId="77777777" w:rsidR="00D34F2D" w:rsidRPr="00A1115A" w:rsidRDefault="00D34F2D" w:rsidP="00D34F2D">
                  <w:pPr>
                    <w:pStyle w:val="TAH"/>
                    <w:keepNext w:val="0"/>
                    <w:keepLines w:val="0"/>
                    <w:widowControl w:val="0"/>
                    <w:rPr>
                      <w:vertAlign w:val="subscript"/>
                    </w:rPr>
                  </w:pPr>
                  <w:proofErr w:type="spellStart"/>
                  <w:r w:rsidRPr="00A1115A">
                    <w:lastRenderedPageBreak/>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7B4DB648" w14:textId="77777777" w:rsidR="00D34F2D" w:rsidRPr="00A1115A" w:rsidRDefault="00D34F2D" w:rsidP="00D34F2D">
                  <w:pPr>
                    <w:pStyle w:val="TAH"/>
                    <w:keepNext w:val="0"/>
                    <w:keepLines w:val="0"/>
                    <w:widowControl w:val="0"/>
                  </w:pPr>
                  <w:r w:rsidRPr="00A1115A">
                    <w:lastRenderedPageBreak/>
                    <w:t xml:space="preserve">Downlink (DL) </w:t>
                  </w:r>
                  <w:r w:rsidRPr="00A1115A">
                    <w:rPr>
                      <w:i/>
                    </w:rPr>
                    <w:t>operating band</w:t>
                  </w:r>
                  <w:r w:rsidRPr="00A1115A">
                    <w:br/>
                    <w:t>BS transmit / UE receive</w:t>
                  </w:r>
                </w:p>
                <w:p w14:paraId="6F56DADE" w14:textId="77777777" w:rsidR="00D34F2D" w:rsidRPr="00A1115A" w:rsidRDefault="00D34F2D" w:rsidP="00D34F2D">
                  <w:pPr>
                    <w:pStyle w:val="TAH"/>
                    <w:keepNext w:val="0"/>
                    <w:keepLines w:val="0"/>
                    <w:widowControl w:val="0"/>
                  </w:pPr>
                  <w:proofErr w:type="spellStart"/>
                  <w:r w:rsidRPr="00A1115A">
                    <w:lastRenderedPageBreak/>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72177A72" w14:textId="77777777" w:rsidR="00D34F2D" w:rsidRPr="00A1115A" w:rsidRDefault="00D34F2D" w:rsidP="00D34F2D">
                  <w:pPr>
                    <w:pStyle w:val="TAH"/>
                    <w:keepNext w:val="0"/>
                    <w:keepLines w:val="0"/>
                    <w:widowControl w:val="0"/>
                  </w:pPr>
                  <w:r w:rsidRPr="00A1115A">
                    <w:lastRenderedPageBreak/>
                    <w:t>Duplex Mode</w:t>
                  </w:r>
                </w:p>
              </w:tc>
            </w:tr>
            <w:tr w:rsidR="00D34F2D" w:rsidRPr="00A1115A" w14:paraId="3ADBE53A" w14:textId="77777777" w:rsidTr="005225A2">
              <w:trPr>
                <w:trHeight w:val="187"/>
                <w:jc w:val="center"/>
              </w:trPr>
              <w:tc>
                <w:tcPr>
                  <w:tcW w:w="1161" w:type="dxa"/>
                  <w:tcBorders>
                    <w:top w:val="single" w:sz="4" w:space="0" w:color="auto"/>
                    <w:left w:val="single" w:sz="4" w:space="0" w:color="auto"/>
                    <w:bottom w:val="nil"/>
                    <w:right w:val="single" w:sz="4" w:space="0" w:color="auto"/>
                  </w:tcBorders>
                  <w:hideMark/>
                </w:tcPr>
                <w:p w14:paraId="58DC8ABC" w14:textId="77777777" w:rsidR="00D34F2D" w:rsidRPr="00A1115A" w:rsidRDefault="00D34F2D" w:rsidP="00D34F2D">
                  <w:pPr>
                    <w:pStyle w:val="TAC"/>
                  </w:pPr>
                  <w:proofErr w:type="spellStart"/>
                  <w:r w:rsidRPr="00A1115A">
                    <w:t>n1</w:t>
                  </w:r>
                  <w:proofErr w:type="spellEnd"/>
                </w:p>
              </w:tc>
              <w:tc>
                <w:tcPr>
                  <w:tcW w:w="2715" w:type="dxa"/>
                  <w:tcBorders>
                    <w:top w:val="single" w:sz="4" w:space="0" w:color="auto"/>
                    <w:left w:val="single" w:sz="4" w:space="0" w:color="auto"/>
                    <w:bottom w:val="single" w:sz="4" w:space="0" w:color="auto"/>
                    <w:right w:val="single" w:sz="4" w:space="0" w:color="auto"/>
                  </w:tcBorders>
                  <w:hideMark/>
                </w:tcPr>
                <w:p w14:paraId="1FC3315B" w14:textId="77777777" w:rsidR="00D34F2D" w:rsidRPr="00A1115A" w:rsidRDefault="00D34F2D" w:rsidP="00D34F2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E49287B" w14:textId="77777777" w:rsidR="00D34F2D" w:rsidRPr="00A1115A" w:rsidRDefault="00D34F2D" w:rsidP="00D34F2D">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7A2C7E7" w14:textId="77777777" w:rsidR="00D34F2D" w:rsidRPr="00A1115A" w:rsidRDefault="00D34F2D" w:rsidP="00D34F2D">
                  <w:pPr>
                    <w:pStyle w:val="TAC"/>
                  </w:pPr>
                  <w:proofErr w:type="spellStart"/>
                  <w:r w:rsidRPr="00A1115A">
                    <w:t>FDD</w:t>
                  </w:r>
                  <w:proofErr w:type="spellEnd"/>
                </w:p>
              </w:tc>
            </w:tr>
            <w:tr w:rsidR="00D34F2D" w:rsidRPr="00A1115A" w14:paraId="7E12CAEF" w14:textId="77777777" w:rsidTr="005225A2">
              <w:trPr>
                <w:trHeight w:val="187"/>
                <w:jc w:val="center"/>
              </w:trPr>
              <w:tc>
                <w:tcPr>
                  <w:tcW w:w="1161" w:type="dxa"/>
                  <w:tcBorders>
                    <w:top w:val="single" w:sz="4" w:space="0" w:color="auto"/>
                    <w:left w:val="single" w:sz="4" w:space="0" w:color="auto"/>
                    <w:bottom w:val="nil"/>
                    <w:right w:val="single" w:sz="4" w:space="0" w:color="auto"/>
                  </w:tcBorders>
                  <w:hideMark/>
                </w:tcPr>
                <w:p w14:paraId="20F5A2BC" w14:textId="77777777" w:rsidR="00D34F2D" w:rsidRPr="00A1115A" w:rsidRDefault="00D34F2D" w:rsidP="00D34F2D">
                  <w:pPr>
                    <w:pStyle w:val="TAC"/>
                  </w:pPr>
                  <w:proofErr w:type="spellStart"/>
                  <w:r w:rsidRPr="00A1115A">
                    <w:t>n2</w:t>
                  </w:r>
                  <w:proofErr w:type="spellEnd"/>
                </w:p>
              </w:tc>
              <w:tc>
                <w:tcPr>
                  <w:tcW w:w="2715" w:type="dxa"/>
                  <w:tcBorders>
                    <w:top w:val="single" w:sz="4" w:space="0" w:color="auto"/>
                    <w:left w:val="single" w:sz="4" w:space="0" w:color="auto"/>
                    <w:bottom w:val="single" w:sz="4" w:space="0" w:color="auto"/>
                    <w:right w:val="single" w:sz="4" w:space="0" w:color="auto"/>
                  </w:tcBorders>
                  <w:hideMark/>
                </w:tcPr>
                <w:p w14:paraId="0A70D6C6" w14:textId="77777777" w:rsidR="00D34F2D" w:rsidRPr="00A1115A" w:rsidRDefault="00D34F2D" w:rsidP="00D34F2D">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5EC208E" w14:textId="77777777" w:rsidR="00D34F2D" w:rsidRPr="00A1115A" w:rsidRDefault="00D34F2D" w:rsidP="00D34F2D">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6EA9AB05" w14:textId="77777777" w:rsidR="00D34F2D" w:rsidRPr="00A1115A" w:rsidRDefault="00D34F2D" w:rsidP="00D34F2D">
                  <w:pPr>
                    <w:pStyle w:val="TAC"/>
                  </w:pPr>
                  <w:proofErr w:type="spellStart"/>
                  <w:r w:rsidRPr="00A1115A">
                    <w:t>FDD</w:t>
                  </w:r>
                  <w:proofErr w:type="spellEnd"/>
                </w:p>
              </w:tc>
            </w:tr>
            <w:tr w:rsidR="00D34F2D" w:rsidRPr="00A1115A" w14:paraId="09E13548" w14:textId="77777777" w:rsidTr="005225A2">
              <w:trPr>
                <w:trHeight w:val="187"/>
                <w:jc w:val="center"/>
              </w:trPr>
              <w:tc>
                <w:tcPr>
                  <w:tcW w:w="1161" w:type="dxa"/>
                  <w:tcBorders>
                    <w:top w:val="single" w:sz="4" w:space="0" w:color="auto"/>
                    <w:left w:val="single" w:sz="4" w:space="0" w:color="auto"/>
                    <w:bottom w:val="nil"/>
                    <w:right w:val="single" w:sz="4" w:space="0" w:color="auto"/>
                  </w:tcBorders>
                  <w:hideMark/>
                </w:tcPr>
                <w:p w14:paraId="32003739" w14:textId="77777777" w:rsidR="00D34F2D" w:rsidRPr="00A1115A" w:rsidRDefault="00D34F2D" w:rsidP="00D34F2D">
                  <w:pPr>
                    <w:pStyle w:val="TAC"/>
                  </w:pPr>
                  <w:proofErr w:type="spellStart"/>
                  <w:r w:rsidRPr="00A1115A">
                    <w:t>n3</w:t>
                  </w:r>
                  <w:proofErr w:type="spellEnd"/>
                </w:p>
              </w:tc>
              <w:tc>
                <w:tcPr>
                  <w:tcW w:w="2715" w:type="dxa"/>
                  <w:tcBorders>
                    <w:top w:val="single" w:sz="4" w:space="0" w:color="auto"/>
                    <w:left w:val="single" w:sz="4" w:space="0" w:color="auto"/>
                    <w:bottom w:val="single" w:sz="4" w:space="0" w:color="auto"/>
                    <w:right w:val="single" w:sz="4" w:space="0" w:color="auto"/>
                  </w:tcBorders>
                  <w:hideMark/>
                </w:tcPr>
                <w:p w14:paraId="4D535E0C" w14:textId="77777777" w:rsidR="00D34F2D" w:rsidRPr="00A1115A" w:rsidRDefault="00D34F2D" w:rsidP="00D34F2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24BD21F" w14:textId="77777777" w:rsidR="00D34F2D" w:rsidRPr="00A1115A" w:rsidRDefault="00D34F2D" w:rsidP="00D34F2D">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01C8A7FD" w14:textId="77777777" w:rsidR="00D34F2D" w:rsidRPr="00A1115A" w:rsidRDefault="00D34F2D" w:rsidP="00D34F2D">
                  <w:pPr>
                    <w:pStyle w:val="TAC"/>
                  </w:pPr>
                  <w:proofErr w:type="spellStart"/>
                  <w:r w:rsidRPr="00A1115A">
                    <w:t>FDD</w:t>
                  </w:r>
                  <w:proofErr w:type="spellEnd"/>
                </w:p>
              </w:tc>
            </w:tr>
            <w:tr w:rsidR="00D34F2D" w:rsidRPr="00A1115A" w14:paraId="5E658FFA" w14:textId="77777777" w:rsidTr="005225A2">
              <w:trPr>
                <w:trHeight w:val="187"/>
                <w:jc w:val="center"/>
              </w:trPr>
              <w:tc>
                <w:tcPr>
                  <w:tcW w:w="1161" w:type="dxa"/>
                  <w:tcBorders>
                    <w:top w:val="single" w:sz="4" w:space="0" w:color="auto"/>
                    <w:left w:val="single" w:sz="4" w:space="0" w:color="auto"/>
                    <w:bottom w:val="nil"/>
                    <w:right w:val="single" w:sz="4" w:space="0" w:color="auto"/>
                  </w:tcBorders>
                  <w:hideMark/>
                </w:tcPr>
                <w:p w14:paraId="1FC5D09F" w14:textId="77777777" w:rsidR="00D34F2D" w:rsidRPr="00A1115A" w:rsidRDefault="00D34F2D" w:rsidP="00D34F2D">
                  <w:pPr>
                    <w:pStyle w:val="TAC"/>
                  </w:pPr>
                  <w:proofErr w:type="spellStart"/>
                  <w:r w:rsidRPr="00A1115A">
                    <w:t>n5</w:t>
                  </w:r>
                  <w:proofErr w:type="spellEnd"/>
                </w:p>
              </w:tc>
              <w:tc>
                <w:tcPr>
                  <w:tcW w:w="2715" w:type="dxa"/>
                  <w:tcBorders>
                    <w:top w:val="single" w:sz="4" w:space="0" w:color="auto"/>
                    <w:left w:val="single" w:sz="4" w:space="0" w:color="auto"/>
                    <w:bottom w:val="single" w:sz="4" w:space="0" w:color="auto"/>
                    <w:right w:val="single" w:sz="4" w:space="0" w:color="auto"/>
                  </w:tcBorders>
                  <w:hideMark/>
                </w:tcPr>
                <w:p w14:paraId="02E1167C" w14:textId="77777777" w:rsidR="00D34F2D" w:rsidRPr="00A1115A" w:rsidRDefault="00D34F2D" w:rsidP="00D34F2D">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0283627" w14:textId="77777777" w:rsidR="00D34F2D" w:rsidRPr="00A1115A" w:rsidRDefault="00D34F2D" w:rsidP="00D34F2D">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71B2409C" w14:textId="77777777" w:rsidR="00D34F2D" w:rsidRPr="00A1115A" w:rsidRDefault="00D34F2D" w:rsidP="00D34F2D">
                  <w:pPr>
                    <w:pStyle w:val="TAC"/>
                  </w:pPr>
                  <w:proofErr w:type="spellStart"/>
                  <w:r w:rsidRPr="00A1115A">
                    <w:t>FDD</w:t>
                  </w:r>
                  <w:proofErr w:type="spellEnd"/>
                </w:p>
              </w:tc>
            </w:tr>
            <w:tr w:rsidR="00D34F2D" w:rsidRPr="00A1115A" w14:paraId="359FB472" w14:textId="77777777" w:rsidTr="005225A2">
              <w:trPr>
                <w:trHeight w:val="187"/>
                <w:jc w:val="center"/>
              </w:trPr>
              <w:tc>
                <w:tcPr>
                  <w:tcW w:w="1161" w:type="dxa"/>
                  <w:tcBorders>
                    <w:top w:val="single" w:sz="4" w:space="0" w:color="auto"/>
                    <w:left w:val="single" w:sz="4" w:space="0" w:color="auto"/>
                    <w:bottom w:val="nil"/>
                    <w:right w:val="single" w:sz="4" w:space="0" w:color="auto"/>
                  </w:tcBorders>
                  <w:hideMark/>
                </w:tcPr>
                <w:p w14:paraId="7951503E" w14:textId="77777777" w:rsidR="00D34F2D" w:rsidRPr="00A1115A" w:rsidRDefault="00D34F2D" w:rsidP="00D34F2D">
                  <w:pPr>
                    <w:pStyle w:val="TAC"/>
                  </w:pPr>
                  <w:proofErr w:type="spellStart"/>
                  <w:r w:rsidRPr="00A1115A">
                    <w:t>n7</w:t>
                  </w:r>
                  <w:proofErr w:type="spellEnd"/>
                </w:p>
              </w:tc>
              <w:tc>
                <w:tcPr>
                  <w:tcW w:w="2715" w:type="dxa"/>
                  <w:tcBorders>
                    <w:top w:val="single" w:sz="4" w:space="0" w:color="auto"/>
                    <w:left w:val="single" w:sz="4" w:space="0" w:color="auto"/>
                    <w:bottom w:val="single" w:sz="4" w:space="0" w:color="auto"/>
                    <w:right w:val="single" w:sz="4" w:space="0" w:color="auto"/>
                  </w:tcBorders>
                  <w:hideMark/>
                </w:tcPr>
                <w:p w14:paraId="3F806657" w14:textId="77777777" w:rsidR="00D34F2D" w:rsidRPr="00A1115A" w:rsidRDefault="00D34F2D" w:rsidP="00D34F2D">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E2EF59" w14:textId="77777777" w:rsidR="00D34F2D" w:rsidRPr="00A1115A" w:rsidRDefault="00D34F2D" w:rsidP="00D34F2D">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0C04F7B6" w14:textId="77777777" w:rsidR="00D34F2D" w:rsidRPr="00A1115A" w:rsidRDefault="00D34F2D" w:rsidP="00D34F2D">
                  <w:pPr>
                    <w:pStyle w:val="TAC"/>
                  </w:pPr>
                  <w:proofErr w:type="spellStart"/>
                  <w:r w:rsidRPr="00A1115A">
                    <w:t>FDD</w:t>
                  </w:r>
                  <w:proofErr w:type="spellEnd"/>
                </w:p>
              </w:tc>
            </w:tr>
            <w:tr w:rsidR="00D34F2D" w:rsidRPr="00A1115A" w14:paraId="11593FEA" w14:textId="77777777" w:rsidTr="005225A2">
              <w:trPr>
                <w:trHeight w:val="187"/>
                <w:jc w:val="center"/>
              </w:trPr>
              <w:tc>
                <w:tcPr>
                  <w:tcW w:w="1161" w:type="dxa"/>
                  <w:tcBorders>
                    <w:top w:val="single" w:sz="4" w:space="0" w:color="auto"/>
                    <w:left w:val="single" w:sz="4" w:space="0" w:color="auto"/>
                    <w:bottom w:val="nil"/>
                    <w:right w:val="single" w:sz="4" w:space="0" w:color="auto"/>
                  </w:tcBorders>
                  <w:hideMark/>
                </w:tcPr>
                <w:p w14:paraId="4ADA3D26" w14:textId="77777777" w:rsidR="00D34F2D" w:rsidRPr="00A1115A" w:rsidRDefault="00D34F2D" w:rsidP="00D34F2D">
                  <w:pPr>
                    <w:pStyle w:val="TAC"/>
                  </w:pPr>
                  <w:proofErr w:type="spellStart"/>
                  <w:r w:rsidRPr="00A1115A">
                    <w:t>n8</w:t>
                  </w:r>
                  <w:proofErr w:type="spellEnd"/>
                </w:p>
              </w:tc>
              <w:tc>
                <w:tcPr>
                  <w:tcW w:w="2715" w:type="dxa"/>
                  <w:tcBorders>
                    <w:top w:val="single" w:sz="4" w:space="0" w:color="auto"/>
                    <w:left w:val="single" w:sz="4" w:space="0" w:color="auto"/>
                    <w:bottom w:val="single" w:sz="4" w:space="0" w:color="auto"/>
                    <w:right w:val="single" w:sz="4" w:space="0" w:color="auto"/>
                  </w:tcBorders>
                  <w:hideMark/>
                </w:tcPr>
                <w:p w14:paraId="3168BC70" w14:textId="77777777" w:rsidR="00D34F2D" w:rsidRPr="00A1115A" w:rsidRDefault="00D34F2D" w:rsidP="00D34F2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A11E22A" w14:textId="77777777" w:rsidR="00D34F2D" w:rsidRPr="00A1115A" w:rsidRDefault="00D34F2D" w:rsidP="00D34F2D">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B1E380E" w14:textId="77777777" w:rsidR="00D34F2D" w:rsidRPr="00A1115A" w:rsidRDefault="00D34F2D" w:rsidP="00D34F2D">
                  <w:pPr>
                    <w:pStyle w:val="TAC"/>
                  </w:pPr>
                  <w:proofErr w:type="spellStart"/>
                  <w:r w:rsidRPr="00A1115A">
                    <w:t>FDD</w:t>
                  </w:r>
                  <w:proofErr w:type="spellEnd"/>
                </w:p>
              </w:tc>
            </w:tr>
            <w:tr w:rsidR="00D34F2D" w:rsidRPr="00A1115A" w14:paraId="0769F32C" w14:textId="77777777" w:rsidTr="005225A2">
              <w:trPr>
                <w:trHeight w:val="187"/>
                <w:jc w:val="center"/>
              </w:trPr>
              <w:tc>
                <w:tcPr>
                  <w:tcW w:w="1161" w:type="dxa"/>
                  <w:tcBorders>
                    <w:top w:val="single" w:sz="4" w:space="0" w:color="auto"/>
                    <w:left w:val="single" w:sz="4" w:space="0" w:color="auto"/>
                    <w:bottom w:val="nil"/>
                    <w:right w:val="single" w:sz="4" w:space="0" w:color="auto"/>
                  </w:tcBorders>
                </w:tcPr>
                <w:p w14:paraId="27F5AAC8" w14:textId="77777777" w:rsidR="00D34F2D" w:rsidRPr="00A1115A" w:rsidRDefault="00D34F2D" w:rsidP="00D34F2D">
                  <w:pPr>
                    <w:pStyle w:val="TAC"/>
                  </w:pPr>
                  <w:proofErr w:type="spellStart"/>
                  <w:r w:rsidRPr="00A1115A">
                    <w:t>n12</w:t>
                  </w:r>
                  <w:proofErr w:type="spellEnd"/>
                </w:p>
              </w:tc>
              <w:tc>
                <w:tcPr>
                  <w:tcW w:w="2715" w:type="dxa"/>
                  <w:tcBorders>
                    <w:top w:val="single" w:sz="4" w:space="0" w:color="auto"/>
                    <w:left w:val="single" w:sz="4" w:space="0" w:color="auto"/>
                    <w:bottom w:val="single" w:sz="4" w:space="0" w:color="auto"/>
                    <w:right w:val="single" w:sz="4" w:space="0" w:color="auto"/>
                  </w:tcBorders>
                </w:tcPr>
                <w:p w14:paraId="16A58C08" w14:textId="77777777" w:rsidR="00D34F2D" w:rsidRPr="00A1115A" w:rsidRDefault="00D34F2D" w:rsidP="00D34F2D">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7F9CC6C" w14:textId="77777777" w:rsidR="00D34F2D" w:rsidRPr="00A1115A" w:rsidRDefault="00D34F2D" w:rsidP="00D34F2D">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752429F1" w14:textId="77777777" w:rsidR="00D34F2D" w:rsidRPr="00A1115A" w:rsidRDefault="00D34F2D" w:rsidP="00D34F2D">
                  <w:pPr>
                    <w:pStyle w:val="TAC"/>
                  </w:pPr>
                  <w:proofErr w:type="spellStart"/>
                  <w:r w:rsidRPr="00A1115A">
                    <w:t>FDD</w:t>
                  </w:r>
                  <w:proofErr w:type="spellEnd"/>
                </w:p>
              </w:tc>
            </w:tr>
            <w:tr w:rsidR="00D34F2D" w:rsidRPr="00A1115A" w14:paraId="283EB883" w14:textId="77777777" w:rsidTr="005225A2">
              <w:trPr>
                <w:trHeight w:val="187"/>
                <w:jc w:val="center"/>
              </w:trPr>
              <w:tc>
                <w:tcPr>
                  <w:tcW w:w="1161" w:type="dxa"/>
                  <w:tcBorders>
                    <w:top w:val="single" w:sz="4" w:space="0" w:color="auto"/>
                    <w:left w:val="single" w:sz="4" w:space="0" w:color="auto"/>
                    <w:bottom w:val="nil"/>
                    <w:right w:val="single" w:sz="4" w:space="0" w:color="auto"/>
                  </w:tcBorders>
                </w:tcPr>
                <w:p w14:paraId="06A292C3" w14:textId="77777777" w:rsidR="00D34F2D" w:rsidRPr="00A1115A" w:rsidRDefault="00D34F2D" w:rsidP="00D34F2D">
                  <w:pPr>
                    <w:pStyle w:val="TAC"/>
                  </w:pPr>
                  <w:proofErr w:type="spellStart"/>
                  <w:r w:rsidRPr="00A1115A">
                    <w:rPr>
                      <w:rFonts w:cs="Arial"/>
                    </w:rPr>
                    <w:t>n13</w:t>
                  </w:r>
                  <w:proofErr w:type="spellEnd"/>
                </w:p>
              </w:tc>
              <w:tc>
                <w:tcPr>
                  <w:tcW w:w="2715" w:type="dxa"/>
                  <w:tcBorders>
                    <w:top w:val="single" w:sz="4" w:space="0" w:color="auto"/>
                    <w:left w:val="single" w:sz="4" w:space="0" w:color="auto"/>
                    <w:bottom w:val="single" w:sz="4" w:space="0" w:color="auto"/>
                    <w:right w:val="single" w:sz="4" w:space="0" w:color="auto"/>
                  </w:tcBorders>
                </w:tcPr>
                <w:p w14:paraId="25E50A06" w14:textId="77777777" w:rsidR="00D34F2D" w:rsidRPr="00A1115A" w:rsidRDefault="00D34F2D" w:rsidP="00D34F2D">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EBE5115" w14:textId="77777777" w:rsidR="00D34F2D" w:rsidRPr="00A1115A" w:rsidRDefault="00D34F2D" w:rsidP="00D34F2D">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463988B7" w14:textId="77777777" w:rsidR="00D34F2D" w:rsidRPr="00A1115A" w:rsidRDefault="00D34F2D" w:rsidP="00D34F2D">
                  <w:pPr>
                    <w:pStyle w:val="TAC"/>
                  </w:pPr>
                  <w:proofErr w:type="spellStart"/>
                  <w:r w:rsidRPr="00A1115A">
                    <w:rPr>
                      <w:rFonts w:cs="Arial"/>
                    </w:rPr>
                    <w:t>FDD</w:t>
                  </w:r>
                  <w:proofErr w:type="spellEnd"/>
                </w:p>
              </w:tc>
            </w:tr>
            <w:tr w:rsidR="00D34F2D" w:rsidRPr="00A1115A" w14:paraId="6B771A31" w14:textId="77777777" w:rsidTr="005225A2">
              <w:trPr>
                <w:trHeight w:val="187"/>
                <w:jc w:val="center"/>
              </w:trPr>
              <w:tc>
                <w:tcPr>
                  <w:tcW w:w="1161" w:type="dxa"/>
                  <w:tcBorders>
                    <w:top w:val="single" w:sz="4" w:space="0" w:color="auto"/>
                    <w:left w:val="single" w:sz="4" w:space="0" w:color="auto"/>
                    <w:bottom w:val="nil"/>
                    <w:right w:val="single" w:sz="4" w:space="0" w:color="auto"/>
                  </w:tcBorders>
                </w:tcPr>
                <w:p w14:paraId="09393FE0" w14:textId="77777777" w:rsidR="00D34F2D" w:rsidRPr="00A1115A" w:rsidRDefault="00D34F2D" w:rsidP="00D34F2D">
                  <w:pPr>
                    <w:pStyle w:val="TAC"/>
                  </w:pPr>
                  <w:proofErr w:type="spellStart"/>
                  <w:r w:rsidRPr="00A1115A">
                    <w:t>n14</w:t>
                  </w:r>
                  <w:proofErr w:type="spellEnd"/>
                </w:p>
              </w:tc>
              <w:tc>
                <w:tcPr>
                  <w:tcW w:w="2715" w:type="dxa"/>
                  <w:tcBorders>
                    <w:top w:val="single" w:sz="4" w:space="0" w:color="auto"/>
                    <w:left w:val="single" w:sz="4" w:space="0" w:color="auto"/>
                    <w:bottom w:val="single" w:sz="4" w:space="0" w:color="auto"/>
                    <w:right w:val="single" w:sz="4" w:space="0" w:color="auto"/>
                  </w:tcBorders>
                </w:tcPr>
                <w:p w14:paraId="74543662" w14:textId="77777777" w:rsidR="00D34F2D" w:rsidRPr="00A1115A" w:rsidRDefault="00D34F2D" w:rsidP="00D34F2D">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5DB74EC7" w14:textId="77777777" w:rsidR="00D34F2D" w:rsidRPr="00A1115A" w:rsidRDefault="00D34F2D" w:rsidP="00D34F2D">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5C5607D3" w14:textId="77777777" w:rsidR="00D34F2D" w:rsidRPr="00A1115A" w:rsidRDefault="00D34F2D" w:rsidP="00D34F2D">
                  <w:pPr>
                    <w:pStyle w:val="TAC"/>
                  </w:pPr>
                  <w:proofErr w:type="spellStart"/>
                  <w:r w:rsidRPr="00A1115A">
                    <w:t>FDD</w:t>
                  </w:r>
                  <w:proofErr w:type="spellEnd"/>
                </w:p>
              </w:tc>
            </w:tr>
            <w:tr w:rsidR="00D34F2D" w:rsidRPr="00A1115A" w14:paraId="53143982" w14:textId="77777777" w:rsidTr="005225A2">
              <w:trPr>
                <w:trHeight w:val="187"/>
                <w:jc w:val="center"/>
              </w:trPr>
              <w:tc>
                <w:tcPr>
                  <w:tcW w:w="1161" w:type="dxa"/>
                  <w:tcBorders>
                    <w:top w:val="single" w:sz="4" w:space="0" w:color="auto"/>
                    <w:left w:val="single" w:sz="4" w:space="0" w:color="auto"/>
                    <w:bottom w:val="nil"/>
                    <w:right w:val="single" w:sz="4" w:space="0" w:color="auto"/>
                  </w:tcBorders>
                </w:tcPr>
                <w:p w14:paraId="5334C342" w14:textId="77777777" w:rsidR="00D34F2D" w:rsidRPr="00A1115A" w:rsidRDefault="00D34F2D" w:rsidP="00D34F2D">
                  <w:pPr>
                    <w:pStyle w:val="TAC"/>
                  </w:pPr>
                  <w:proofErr w:type="spellStart"/>
                  <w:r w:rsidRPr="00A1115A">
                    <w:rPr>
                      <w:rFonts w:eastAsia="Yu Mincho" w:hint="eastAsia"/>
                      <w:lang w:eastAsia="ja-JP"/>
                    </w:rPr>
                    <w:t>n</w:t>
                  </w:r>
                  <w:r w:rsidRPr="00A1115A">
                    <w:rPr>
                      <w:rFonts w:eastAsia="Yu Mincho"/>
                      <w:lang w:eastAsia="ja-JP"/>
                    </w:rPr>
                    <w:t>18</w:t>
                  </w:r>
                  <w:proofErr w:type="spellEnd"/>
                </w:p>
              </w:tc>
              <w:tc>
                <w:tcPr>
                  <w:tcW w:w="2715" w:type="dxa"/>
                  <w:tcBorders>
                    <w:top w:val="single" w:sz="4" w:space="0" w:color="auto"/>
                    <w:left w:val="single" w:sz="4" w:space="0" w:color="auto"/>
                    <w:bottom w:val="single" w:sz="4" w:space="0" w:color="auto"/>
                    <w:right w:val="single" w:sz="4" w:space="0" w:color="auto"/>
                  </w:tcBorders>
                </w:tcPr>
                <w:p w14:paraId="2A33A5C0" w14:textId="77777777" w:rsidR="00D34F2D" w:rsidRPr="00A1115A" w:rsidRDefault="00D34F2D" w:rsidP="00D34F2D">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1A6A8A5F" w14:textId="77777777" w:rsidR="00D34F2D" w:rsidRPr="00A1115A" w:rsidRDefault="00D34F2D" w:rsidP="00D34F2D">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044B2D44" w14:textId="77777777" w:rsidR="00D34F2D" w:rsidRPr="00A1115A" w:rsidRDefault="00D34F2D" w:rsidP="00D34F2D">
                  <w:pPr>
                    <w:pStyle w:val="TAC"/>
                  </w:pPr>
                  <w:proofErr w:type="spellStart"/>
                  <w:r w:rsidRPr="00A1115A">
                    <w:rPr>
                      <w:rFonts w:eastAsia="Yu Mincho" w:hint="eastAsia"/>
                      <w:lang w:eastAsia="ja-JP"/>
                    </w:rPr>
                    <w:t>FDD</w:t>
                  </w:r>
                  <w:proofErr w:type="spellEnd"/>
                </w:p>
              </w:tc>
            </w:tr>
            <w:tr w:rsidR="00D34F2D" w:rsidRPr="00A1115A" w14:paraId="0BBA720D" w14:textId="77777777" w:rsidTr="005225A2">
              <w:trPr>
                <w:trHeight w:val="187"/>
                <w:jc w:val="center"/>
              </w:trPr>
              <w:tc>
                <w:tcPr>
                  <w:tcW w:w="1161" w:type="dxa"/>
                  <w:tcBorders>
                    <w:top w:val="single" w:sz="4" w:space="0" w:color="auto"/>
                    <w:left w:val="single" w:sz="4" w:space="0" w:color="auto"/>
                    <w:bottom w:val="nil"/>
                    <w:right w:val="single" w:sz="4" w:space="0" w:color="auto"/>
                  </w:tcBorders>
                  <w:hideMark/>
                </w:tcPr>
                <w:p w14:paraId="49EF05B8" w14:textId="77777777" w:rsidR="00D34F2D" w:rsidRPr="00A1115A" w:rsidRDefault="00D34F2D" w:rsidP="00D34F2D">
                  <w:pPr>
                    <w:pStyle w:val="TAC"/>
                  </w:pPr>
                  <w:proofErr w:type="spellStart"/>
                  <w:r w:rsidRPr="00A1115A">
                    <w:t>n20</w:t>
                  </w:r>
                  <w:proofErr w:type="spellEnd"/>
                </w:p>
              </w:tc>
              <w:tc>
                <w:tcPr>
                  <w:tcW w:w="2715" w:type="dxa"/>
                  <w:tcBorders>
                    <w:top w:val="single" w:sz="4" w:space="0" w:color="auto"/>
                    <w:left w:val="single" w:sz="4" w:space="0" w:color="auto"/>
                    <w:bottom w:val="single" w:sz="4" w:space="0" w:color="auto"/>
                    <w:right w:val="single" w:sz="4" w:space="0" w:color="auto"/>
                  </w:tcBorders>
                  <w:hideMark/>
                </w:tcPr>
                <w:p w14:paraId="71BB4759" w14:textId="77777777" w:rsidR="00D34F2D" w:rsidRPr="00A1115A" w:rsidRDefault="00D34F2D" w:rsidP="00D34F2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AD0390" w14:textId="77777777" w:rsidR="00D34F2D" w:rsidRPr="00A1115A" w:rsidRDefault="00D34F2D" w:rsidP="00D34F2D">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606E8A3F" w14:textId="77777777" w:rsidR="00D34F2D" w:rsidRPr="00A1115A" w:rsidRDefault="00D34F2D" w:rsidP="00D34F2D">
                  <w:pPr>
                    <w:pStyle w:val="TAC"/>
                  </w:pPr>
                  <w:proofErr w:type="spellStart"/>
                  <w:r w:rsidRPr="00A1115A">
                    <w:t>FDD</w:t>
                  </w:r>
                  <w:proofErr w:type="spellEnd"/>
                </w:p>
              </w:tc>
            </w:tr>
            <w:tr w:rsidR="00D34F2D" w:rsidRPr="00A1115A" w14:paraId="5593C3B5" w14:textId="77777777" w:rsidTr="005225A2">
              <w:trPr>
                <w:trHeight w:val="187"/>
                <w:jc w:val="center"/>
              </w:trPr>
              <w:tc>
                <w:tcPr>
                  <w:tcW w:w="1161" w:type="dxa"/>
                  <w:tcBorders>
                    <w:top w:val="single" w:sz="4" w:space="0" w:color="auto"/>
                    <w:left w:val="single" w:sz="4" w:space="0" w:color="auto"/>
                    <w:bottom w:val="nil"/>
                    <w:right w:val="single" w:sz="4" w:space="0" w:color="auto"/>
                  </w:tcBorders>
                </w:tcPr>
                <w:p w14:paraId="0AB60410" w14:textId="77777777" w:rsidR="00D34F2D" w:rsidRPr="00266E60" w:rsidRDefault="00D34F2D" w:rsidP="00D34F2D">
                  <w:pPr>
                    <w:pStyle w:val="TAC"/>
                    <w:rPr>
                      <w:highlight w:val="yellow"/>
                    </w:rPr>
                  </w:pPr>
                  <w:proofErr w:type="spellStart"/>
                  <w:r w:rsidRPr="00266E60">
                    <w:rPr>
                      <w:highlight w:val="yellow"/>
                    </w:rPr>
                    <w:t>n24</w:t>
                  </w:r>
                  <w:r w:rsidRPr="00266E60">
                    <w:rPr>
                      <w:highlight w:val="yellow"/>
                      <w:vertAlign w:val="superscript"/>
                    </w:rPr>
                    <w:t>16</w:t>
                  </w:r>
                  <w:proofErr w:type="spellEnd"/>
                </w:p>
              </w:tc>
              <w:tc>
                <w:tcPr>
                  <w:tcW w:w="2715" w:type="dxa"/>
                  <w:tcBorders>
                    <w:top w:val="single" w:sz="4" w:space="0" w:color="auto"/>
                    <w:left w:val="single" w:sz="4" w:space="0" w:color="auto"/>
                    <w:bottom w:val="single" w:sz="4" w:space="0" w:color="auto"/>
                    <w:right w:val="single" w:sz="4" w:space="0" w:color="auto"/>
                  </w:tcBorders>
                </w:tcPr>
                <w:p w14:paraId="03C69B27" w14:textId="77777777" w:rsidR="00D34F2D" w:rsidRPr="00266E60" w:rsidRDefault="00D34F2D" w:rsidP="00D34F2D">
                  <w:pPr>
                    <w:pStyle w:val="TAC"/>
                    <w:rPr>
                      <w:highlight w:val="yellow"/>
                    </w:rPr>
                  </w:pPr>
                  <w:r w:rsidRPr="00266E60">
                    <w:rPr>
                      <w:highlight w:val="yellow"/>
                    </w:rPr>
                    <w:t>1626.5 MHz – 1660.5 MHz</w:t>
                  </w:r>
                </w:p>
              </w:tc>
              <w:tc>
                <w:tcPr>
                  <w:tcW w:w="2953" w:type="dxa"/>
                  <w:tcBorders>
                    <w:top w:val="single" w:sz="4" w:space="0" w:color="auto"/>
                    <w:left w:val="single" w:sz="4" w:space="0" w:color="auto"/>
                    <w:bottom w:val="single" w:sz="4" w:space="0" w:color="auto"/>
                    <w:right w:val="single" w:sz="4" w:space="0" w:color="auto"/>
                  </w:tcBorders>
                </w:tcPr>
                <w:p w14:paraId="753AE9A0" w14:textId="77777777" w:rsidR="00D34F2D" w:rsidRPr="00266E60" w:rsidRDefault="00D34F2D" w:rsidP="00D34F2D">
                  <w:pPr>
                    <w:pStyle w:val="TAC"/>
                    <w:rPr>
                      <w:highlight w:val="yellow"/>
                    </w:rPr>
                  </w:pPr>
                  <w:r w:rsidRPr="00266E60">
                    <w:rPr>
                      <w:highlight w:val="yellow"/>
                    </w:rPr>
                    <w:t>1525 MHz – 1559 MHz</w:t>
                  </w:r>
                </w:p>
              </w:tc>
              <w:tc>
                <w:tcPr>
                  <w:tcW w:w="908" w:type="dxa"/>
                  <w:tcBorders>
                    <w:top w:val="single" w:sz="4" w:space="0" w:color="auto"/>
                    <w:left w:val="single" w:sz="4" w:space="0" w:color="auto"/>
                    <w:bottom w:val="nil"/>
                    <w:right w:val="single" w:sz="4" w:space="0" w:color="auto"/>
                  </w:tcBorders>
                </w:tcPr>
                <w:p w14:paraId="7021A3BF" w14:textId="77777777" w:rsidR="00D34F2D" w:rsidRPr="00266E60" w:rsidRDefault="00D34F2D" w:rsidP="00D34F2D">
                  <w:pPr>
                    <w:pStyle w:val="TAC"/>
                    <w:rPr>
                      <w:highlight w:val="yellow"/>
                    </w:rPr>
                  </w:pPr>
                  <w:proofErr w:type="spellStart"/>
                  <w:r w:rsidRPr="00266E60">
                    <w:rPr>
                      <w:highlight w:val="yellow"/>
                    </w:rPr>
                    <w:t>FDD</w:t>
                  </w:r>
                  <w:proofErr w:type="spellEnd"/>
                </w:p>
              </w:tc>
            </w:tr>
          </w:tbl>
          <w:p w14:paraId="7059293D" w14:textId="77777777" w:rsidR="00D34F2D" w:rsidRPr="00D34F2D" w:rsidRDefault="00D34F2D" w:rsidP="00EB37B9">
            <w:pPr>
              <w:spacing w:before="120" w:after="120" w:line="240" w:lineRule="auto"/>
              <w:jc w:val="both"/>
            </w:pPr>
            <w:r w:rsidRPr="00D34F2D">
              <w:t>Skip unrelated part……</w:t>
            </w:r>
          </w:p>
          <w:p w14:paraId="348D8E22" w14:textId="77777777" w:rsidR="00D34F2D" w:rsidRDefault="00D34F2D" w:rsidP="00D34F2D">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w:t>
            </w:r>
            <w:proofErr w:type="spellStart"/>
            <w:r>
              <w:rPr>
                <w:bCs/>
              </w:rPr>
              <w:t>FR1</w:t>
            </w:r>
            <w:proofErr w:type="spellEnd"/>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3818"/>
              <w:gridCol w:w="3840"/>
              <w:gridCol w:w="886"/>
            </w:tblGrid>
            <w:tr w:rsidR="00D34F2D" w14:paraId="6A9923CB" w14:textId="77777777" w:rsidTr="005225A2">
              <w:trPr>
                <w:jc w:val="center"/>
              </w:trPr>
              <w:tc>
                <w:tcPr>
                  <w:tcW w:w="1192" w:type="dxa"/>
                  <w:shd w:val="clear" w:color="auto" w:fill="auto"/>
                </w:tcPr>
                <w:p w14:paraId="35928798" w14:textId="77777777" w:rsidR="00D34F2D" w:rsidRDefault="00D34F2D" w:rsidP="00D34F2D">
                  <w:pPr>
                    <w:pStyle w:val="TAH"/>
                  </w:pPr>
                  <w:r>
                    <w:t>NTN satellite</w:t>
                  </w:r>
                  <w:r>
                    <w:rPr>
                      <w:lang w:val="en-US"/>
                    </w:rPr>
                    <w:t xml:space="preserve"> operating </w:t>
                  </w:r>
                  <w:r>
                    <w:t>band</w:t>
                  </w:r>
                </w:p>
              </w:tc>
              <w:tc>
                <w:tcPr>
                  <w:tcW w:w="3818" w:type="dxa"/>
                  <w:shd w:val="clear" w:color="auto" w:fill="auto"/>
                </w:tcPr>
                <w:p w14:paraId="51689282" w14:textId="77777777" w:rsidR="00D34F2D" w:rsidRDefault="00D34F2D" w:rsidP="00D34F2D">
                  <w:pPr>
                    <w:pStyle w:val="TAH"/>
                    <w:rPr>
                      <w:lang w:val="en-US"/>
                    </w:rPr>
                  </w:pPr>
                  <w:r>
                    <w:rPr>
                      <w:lang w:val="en-US"/>
                    </w:rPr>
                    <w:t>Uplink (UL) operating band</w:t>
                  </w:r>
                  <w:r>
                    <w:rPr>
                      <w:lang w:val="en-US"/>
                    </w:rPr>
                    <w:br/>
                    <w:t>Satellite Access Node receive / UE transmit</w:t>
                  </w:r>
                </w:p>
                <w:p w14:paraId="33C95939" w14:textId="77777777" w:rsidR="00D34F2D" w:rsidRDefault="00D34F2D" w:rsidP="00D34F2D">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4E70AAEF" w14:textId="77777777" w:rsidR="00D34F2D" w:rsidRDefault="00D34F2D" w:rsidP="00D34F2D">
                  <w:pPr>
                    <w:pStyle w:val="TAH"/>
                    <w:rPr>
                      <w:lang w:val="en-US"/>
                    </w:rPr>
                  </w:pPr>
                  <w:r>
                    <w:rPr>
                      <w:lang w:val="en-US"/>
                    </w:rPr>
                    <w:t>Downlink (DL) operating band</w:t>
                  </w:r>
                  <w:r>
                    <w:rPr>
                      <w:lang w:val="en-US"/>
                    </w:rPr>
                    <w:br/>
                    <w:t>Satellite Access Node transmit / UE receive</w:t>
                  </w:r>
                </w:p>
                <w:p w14:paraId="535A7AC0" w14:textId="77777777" w:rsidR="00D34F2D" w:rsidRDefault="00D34F2D" w:rsidP="00D34F2D">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5123EF1E" w14:textId="77777777" w:rsidR="00D34F2D" w:rsidRDefault="00D34F2D" w:rsidP="00D34F2D">
                  <w:pPr>
                    <w:pStyle w:val="TAH"/>
                  </w:pPr>
                  <w:r>
                    <w:t>Duplex mode</w:t>
                  </w:r>
                </w:p>
              </w:tc>
            </w:tr>
            <w:tr w:rsidR="00D34F2D" w14:paraId="46668AE5" w14:textId="77777777" w:rsidTr="005225A2">
              <w:trPr>
                <w:jc w:val="center"/>
              </w:trPr>
              <w:tc>
                <w:tcPr>
                  <w:tcW w:w="1192" w:type="dxa"/>
                  <w:shd w:val="clear" w:color="auto" w:fill="auto"/>
                </w:tcPr>
                <w:p w14:paraId="0FFF110B" w14:textId="77777777" w:rsidR="00D34F2D" w:rsidRDefault="00D34F2D" w:rsidP="00D34F2D">
                  <w:pPr>
                    <w:pStyle w:val="TAC"/>
                  </w:pPr>
                  <w:proofErr w:type="spellStart"/>
                  <w:r>
                    <w:rPr>
                      <w:rFonts w:hint="eastAsia"/>
                    </w:rPr>
                    <w:t>n256</w:t>
                  </w:r>
                  <w:proofErr w:type="spellEnd"/>
                </w:p>
              </w:tc>
              <w:tc>
                <w:tcPr>
                  <w:tcW w:w="3818" w:type="dxa"/>
                  <w:shd w:val="clear" w:color="auto" w:fill="auto"/>
                </w:tcPr>
                <w:p w14:paraId="473D94DC" w14:textId="77777777" w:rsidR="00D34F2D" w:rsidRDefault="00D34F2D" w:rsidP="00D34F2D">
                  <w:pPr>
                    <w:pStyle w:val="TAC"/>
                  </w:pPr>
                  <w:r w:rsidRPr="007744F3">
                    <w:t>1980</w:t>
                  </w:r>
                  <w:r>
                    <w:t xml:space="preserve"> </w:t>
                  </w:r>
                  <w:r w:rsidRPr="007744F3">
                    <w:rPr>
                      <w:rFonts w:hint="eastAsia"/>
                      <w:lang w:val="en-US"/>
                    </w:rPr>
                    <w:t>MHz</w:t>
                  </w:r>
                  <w:r w:rsidRPr="007744F3">
                    <w:t xml:space="preserve"> – 2010 MHz</w:t>
                  </w:r>
                </w:p>
              </w:tc>
              <w:tc>
                <w:tcPr>
                  <w:tcW w:w="3840" w:type="dxa"/>
                </w:tcPr>
                <w:p w14:paraId="208488CD" w14:textId="77777777" w:rsidR="00D34F2D" w:rsidRDefault="00D34F2D" w:rsidP="00D34F2D">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1780E1E3" w14:textId="77777777" w:rsidR="00D34F2D" w:rsidRDefault="00D34F2D" w:rsidP="00D34F2D">
                  <w:pPr>
                    <w:pStyle w:val="TAC"/>
                  </w:pPr>
                  <w:proofErr w:type="spellStart"/>
                  <w:r>
                    <w:t>FDD</w:t>
                  </w:r>
                  <w:proofErr w:type="spellEnd"/>
                </w:p>
              </w:tc>
            </w:tr>
            <w:tr w:rsidR="00D34F2D" w:rsidRPr="00F14D42" w14:paraId="51F2A793" w14:textId="77777777" w:rsidTr="005225A2">
              <w:trPr>
                <w:jc w:val="center"/>
              </w:trPr>
              <w:tc>
                <w:tcPr>
                  <w:tcW w:w="1192" w:type="dxa"/>
                  <w:shd w:val="clear" w:color="auto" w:fill="auto"/>
                </w:tcPr>
                <w:p w14:paraId="66EB4D54" w14:textId="77777777" w:rsidR="00D34F2D" w:rsidRPr="00F14D42" w:rsidRDefault="00D34F2D" w:rsidP="00D34F2D">
                  <w:pPr>
                    <w:pStyle w:val="TAC"/>
                    <w:rPr>
                      <w:highlight w:val="yellow"/>
                    </w:rPr>
                  </w:pPr>
                  <w:proofErr w:type="spellStart"/>
                  <w:r w:rsidRPr="00F14D42">
                    <w:rPr>
                      <w:rFonts w:hint="eastAsia"/>
                      <w:highlight w:val="yellow"/>
                    </w:rPr>
                    <w:t>n255</w:t>
                  </w:r>
                  <w:proofErr w:type="spellEnd"/>
                </w:p>
              </w:tc>
              <w:tc>
                <w:tcPr>
                  <w:tcW w:w="3818" w:type="dxa"/>
                  <w:shd w:val="clear" w:color="auto" w:fill="auto"/>
                </w:tcPr>
                <w:p w14:paraId="6C027D0F" w14:textId="77777777" w:rsidR="00D34F2D" w:rsidRPr="00F14D42" w:rsidRDefault="00D34F2D" w:rsidP="00D34F2D">
                  <w:pPr>
                    <w:pStyle w:val="TAC"/>
                    <w:rPr>
                      <w:highlight w:val="yellow"/>
                    </w:rPr>
                  </w:pPr>
                  <w:r w:rsidRPr="00F14D42">
                    <w:rPr>
                      <w:highlight w:val="yellow"/>
                    </w:rPr>
                    <w:t>1626.5 MHz – 1660.5 MHz</w:t>
                  </w:r>
                </w:p>
              </w:tc>
              <w:tc>
                <w:tcPr>
                  <w:tcW w:w="3840" w:type="dxa"/>
                </w:tcPr>
                <w:p w14:paraId="368497B8" w14:textId="77777777" w:rsidR="00D34F2D" w:rsidRPr="00F14D42" w:rsidRDefault="00D34F2D" w:rsidP="00D34F2D">
                  <w:pPr>
                    <w:pStyle w:val="TAC"/>
                    <w:rPr>
                      <w:highlight w:val="yellow"/>
                    </w:rPr>
                  </w:pPr>
                  <w:r w:rsidRPr="00F14D42">
                    <w:rPr>
                      <w:highlight w:val="yellow"/>
                    </w:rPr>
                    <w:t>1525 MHz – 1559</w:t>
                  </w:r>
                  <w:r w:rsidRPr="00F14D42">
                    <w:rPr>
                      <w:rFonts w:hint="eastAsia"/>
                      <w:highlight w:val="yellow"/>
                    </w:rPr>
                    <w:t xml:space="preserve"> </w:t>
                  </w:r>
                  <w:r w:rsidRPr="00F14D42">
                    <w:rPr>
                      <w:highlight w:val="yellow"/>
                    </w:rPr>
                    <w:t>MHz</w:t>
                  </w:r>
                </w:p>
              </w:tc>
              <w:tc>
                <w:tcPr>
                  <w:tcW w:w="886" w:type="dxa"/>
                </w:tcPr>
                <w:p w14:paraId="17BD3DA5" w14:textId="77777777" w:rsidR="00D34F2D" w:rsidRPr="00F14D42" w:rsidRDefault="00D34F2D" w:rsidP="00D34F2D">
                  <w:pPr>
                    <w:pStyle w:val="TAC"/>
                    <w:rPr>
                      <w:highlight w:val="yellow"/>
                    </w:rPr>
                  </w:pPr>
                  <w:proofErr w:type="spellStart"/>
                  <w:r w:rsidRPr="00F14D42">
                    <w:rPr>
                      <w:highlight w:val="yellow"/>
                    </w:rPr>
                    <w:t>FDD</w:t>
                  </w:r>
                  <w:proofErr w:type="spellEnd"/>
                </w:p>
              </w:tc>
            </w:tr>
            <w:tr w:rsidR="00D34F2D" w14:paraId="0C9BA3A4" w14:textId="77777777" w:rsidTr="005225A2">
              <w:trPr>
                <w:jc w:val="center"/>
              </w:trPr>
              <w:tc>
                <w:tcPr>
                  <w:tcW w:w="1192" w:type="dxa"/>
                  <w:shd w:val="clear" w:color="auto" w:fill="auto"/>
                </w:tcPr>
                <w:p w14:paraId="65139AED" w14:textId="77777777" w:rsidR="00D34F2D" w:rsidRDefault="00D34F2D" w:rsidP="00D34F2D">
                  <w:pPr>
                    <w:pStyle w:val="TAC"/>
                  </w:pPr>
                  <w:proofErr w:type="spellStart"/>
                  <w:r w:rsidRPr="00715883">
                    <w:t>n254</w:t>
                  </w:r>
                  <w:proofErr w:type="spellEnd"/>
                </w:p>
              </w:tc>
              <w:tc>
                <w:tcPr>
                  <w:tcW w:w="3818" w:type="dxa"/>
                  <w:shd w:val="clear" w:color="auto" w:fill="auto"/>
                </w:tcPr>
                <w:p w14:paraId="3C2B5ED9" w14:textId="77777777" w:rsidR="00D34F2D" w:rsidRDefault="00D34F2D" w:rsidP="00D34F2D">
                  <w:pPr>
                    <w:pStyle w:val="TAC"/>
                  </w:pPr>
                  <w:r w:rsidRPr="00715883">
                    <w:t>1610 – 1626.5 MHz</w:t>
                  </w:r>
                </w:p>
              </w:tc>
              <w:tc>
                <w:tcPr>
                  <w:tcW w:w="3840" w:type="dxa"/>
                </w:tcPr>
                <w:p w14:paraId="66E2821F" w14:textId="77777777" w:rsidR="00D34F2D" w:rsidRDefault="00D34F2D" w:rsidP="00D34F2D">
                  <w:pPr>
                    <w:pStyle w:val="TAC"/>
                  </w:pPr>
                  <w:r w:rsidRPr="00715883">
                    <w:t>2483.5 – 2500 MHz</w:t>
                  </w:r>
                </w:p>
              </w:tc>
              <w:tc>
                <w:tcPr>
                  <w:tcW w:w="886" w:type="dxa"/>
                </w:tcPr>
                <w:p w14:paraId="1AA6D08E" w14:textId="77777777" w:rsidR="00D34F2D" w:rsidRDefault="00D34F2D" w:rsidP="00D34F2D">
                  <w:pPr>
                    <w:pStyle w:val="TAC"/>
                  </w:pPr>
                  <w:proofErr w:type="spellStart"/>
                  <w:r w:rsidRPr="00715883">
                    <w:t>FDD</w:t>
                  </w:r>
                  <w:proofErr w:type="spellEnd"/>
                </w:p>
              </w:tc>
            </w:tr>
            <w:tr w:rsidR="00D34F2D" w14:paraId="6CC73892" w14:textId="77777777" w:rsidTr="005225A2">
              <w:trPr>
                <w:jc w:val="center"/>
              </w:trPr>
              <w:tc>
                <w:tcPr>
                  <w:tcW w:w="9736" w:type="dxa"/>
                  <w:gridSpan w:val="4"/>
                  <w:shd w:val="clear" w:color="auto" w:fill="auto"/>
                </w:tcPr>
                <w:p w14:paraId="49E18C11" w14:textId="77777777" w:rsidR="00D34F2D" w:rsidRDefault="00D34F2D" w:rsidP="00D34F2D">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w:t>
                  </w:r>
                  <w:proofErr w:type="spellStart"/>
                  <w:r>
                    <w:rPr>
                      <w:rFonts w:hint="eastAsia"/>
                    </w:rPr>
                    <w:t>n256</w:t>
                  </w:r>
                  <w:proofErr w:type="spellEnd"/>
                  <w:r>
                    <w:rPr>
                      <w:rFonts w:hint="eastAsia"/>
                    </w:rPr>
                    <w:t>.</w:t>
                  </w:r>
                </w:p>
              </w:tc>
            </w:tr>
          </w:tbl>
          <w:p w14:paraId="387D9F3E" w14:textId="6132AE64" w:rsidR="00D34F2D" w:rsidRDefault="00D34F2D" w:rsidP="00EB37B9">
            <w:pPr>
              <w:spacing w:before="120" w:after="120" w:line="240" w:lineRule="auto"/>
              <w:jc w:val="both"/>
            </w:pPr>
          </w:p>
        </w:tc>
      </w:tr>
    </w:tbl>
    <w:p w14:paraId="4F3F8D6B" w14:textId="35538F35" w:rsidR="00D34F2D" w:rsidRDefault="00D34F2D" w:rsidP="00D34F2D">
      <w:pPr>
        <w:spacing w:before="120" w:after="120" w:line="240" w:lineRule="auto"/>
        <w:jc w:val="both"/>
        <w:rPr>
          <w:b/>
          <w:bCs/>
        </w:rPr>
      </w:pPr>
      <w:r w:rsidRPr="00855AFC">
        <w:rPr>
          <w:b/>
          <w:bCs/>
        </w:rPr>
        <w:lastRenderedPageBreak/>
        <w:t xml:space="preserve">Observation </w:t>
      </w:r>
      <w:r>
        <w:rPr>
          <w:b/>
          <w:bCs/>
        </w:rPr>
        <w:t>2</w:t>
      </w:r>
      <w:r w:rsidRPr="00855AFC">
        <w:rPr>
          <w:b/>
          <w:bCs/>
        </w:rPr>
        <w:t>:</w:t>
      </w:r>
      <w:r>
        <w:rPr>
          <w:b/>
          <w:bCs/>
        </w:rPr>
        <w:t xml:space="preserve"> </w:t>
      </w:r>
      <w:r w:rsidR="00F65BFF">
        <w:rPr>
          <w:b/>
          <w:bCs/>
        </w:rPr>
        <w:t>UE cannot distinguish whether the redirection frequency is an NR TN frequency or an NR NTN frequency.</w:t>
      </w:r>
    </w:p>
    <w:p w14:paraId="6D75EFF2" w14:textId="3FC61964" w:rsidR="00D34F2D" w:rsidRDefault="00F65BFF" w:rsidP="00EB37B9">
      <w:pPr>
        <w:spacing w:before="120" w:after="120" w:line="240" w:lineRule="auto"/>
        <w:jc w:val="both"/>
      </w:pPr>
      <w:r>
        <w:t xml:space="preserve">However, NR TN measurements and NR NTN measurements are quite </w:t>
      </w:r>
      <w:r w:rsidR="00FC16D8">
        <w:t>different</w:t>
      </w:r>
      <w:r>
        <w:t xml:space="preserve"> from the UE perspective, i.e., there are different UE requirements, and also UE may do some pre-compensation either based on </w:t>
      </w:r>
      <w:r w:rsidR="00FC16D8">
        <w:t>e</w:t>
      </w:r>
      <w:r w:rsidR="00FC16D8" w:rsidRPr="00FC16D8">
        <w:t>phemeris information</w:t>
      </w:r>
      <w:r w:rsidR="00FC16D8">
        <w:t xml:space="preserve"> or the implementation. </w:t>
      </w:r>
    </w:p>
    <w:p w14:paraId="0C5725CB" w14:textId="77777777" w:rsidR="009D7C35" w:rsidRPr="00FC16D8" w:rsidRDefault="009D7C35" w:rsidP="009D7C35">
      <w:pPr>
        <w:spacing w:before="120" w:after="120" w:line="240" w:lineRule="auto"/>
        <w:jc w:val="both"/>
        <w:rPr>
          <w:b/>
          <w:bCs/>
        </w:rPr>
      </w:pPr>
      <w:r w:rsidRPr="00FC16D8">
        <w:rPr>
          <w:b/>
          <w:bCs/>
        </w:rPr>
        <w:t>Observation 3: There are different UE requirements or behaviours for TN measurements and NTN measurements.</w:t>
      </w:r>
    </w:p>
    <w:p w14:paraId="2D12650C" w14:textId="71C6A41A" w:rsidR="00FC16D8" w:rsidRDefault="00FC16D8" w:rsidP="00EB37B9">
      <w:pPr>
        <w:spacing w:before="120" w:after="120" w:line="240" w:lineRule="auto"/>
        <w:jc w:val="both"/>
      </w:pPr>
      <w:r>
        <w:t>Besides, since there is already the e</w:t>
      </w:r>
      <w:r w:rsidRPr="00FC16D8">
        <w:t>phemeris information</w:t>
      </w:r>
      <w:r>
        <w:t xml:space="preserve"> associated with the NR NTN frequency info in </w:t>
      </w:r>
      <w:proofErr w:type="spellStart"/>
      <w:r>
        <w:t>SIB24</w:t>
      </w:r>
      <w:proofErr w:type="spellEnd"/>
      <w:r>
        <w:t xml:space="preserve"> after we finish the LTE TN to NR NTN </w:t>
      </w:r>
      <w:r w:rsidR="009D7C35">
        <w:t xml:space="preserve">topic. </w:t>
      </w:r>
      <w:r w:rsidR="00C0713B">
        <w:t>The</w:t>
      </w:r>
      <w:r w:rsidR="009D7C35">
        <w:t xml:space="preserve"> simple solution is if UE finds the frequency in the redirection information is also present in </w:t>
      </w:r>
      <w:proofErr w:type="spellStart"/>
      <w:r w:rsidR="009D7C35">
        <w:t>SIB24</w:t>
      </w:r>
      <w:proofErr w:type="spellEnd"/>
      <w:r w:rsidR="009D7C35">
        <w:t xml:space="preserve"> and also it is associated with the e</w:t>
      </w:r>
      <w:r w:rsidR="009D7C35" w:rsidRPr="00FC16D8">
        <w:t>phemeris information</w:t>
      </w:r>
      <w:r w:rsidR="009D7C35">
        <w:t xml:space="preserve">, UE can consider it as the NR NTN frequency. Otherwise, as we do for </w:t>
      </w:r>
      <w:proofErr w:type="spellStart"/>
      <w:r w:rsidR="009D7C35">
        <w:t>SIB3</w:t>
      </w:r>
      <w:proofErr w:type="spellEnd"/>
      <w:r w:rsidR="009D7C35">
        <w:t xml:space="preserve">-NB, </w:t>
      </w:r>
      <w:proofErr w:type="spellStart"/>
      <w:r w:rsidR="009D7C35">
        <w:t>SIB5</w:t>
      </w:r>
      <w:proofErr w:type="spellEnd"/>
      <w:r w:rsidR="009D7C35">
        <w:t xml:space="preserve">-NB and </w:t>
      </w:r>
      <w:proofErr w:type="spellStart"/>
      <w:r w:rsidR="009D7C35">
        <w:t>SIB24</w:t>
      </w:r>
      <w:proofErr w:type="spellEnd"/>
      <w:r w:rsidR="009D7C35">
        <w:t>-NB, UE just considers the frequency as TN frequency.</w:t>
      </w:r>
    </w:p>
    <w:p w14:paraId="31127F32" w14:textId="3FB30CE7" w:rsidR="009D7C35" w:rsidRDefault="009D7C35" w:rsidP="00EB37B9">
      <w:pPr>
        <w:spacing w:before="120" w:after="120" w:line="240" w:lineRule="auto"/>
        <w:jc w:val="both"/>
        <w:rPr>
          <w:b/>
          <w:bCs/>
        </w:rPr>
      </w:pPr>
      <w:r>
        <w:rPr>
          <w:b/>
          <w:bCs/>
        </w:rPr>
        <w:t>Proposal 1</w:t>
      </w:r>
      <w:r w:rsidRPr="00FC16D8">
        <w:rPr>
          <w:b/>
          <w:bCs/>
        </w:rPr>
        <w:t xml:space="preserve">: </w:t>
      </w:r>
      <w:r>
        <w:rPr>
          <w:b/>
          <w:bCs/>
        </w:rPr>
        <w:t xml:space="preserve">If UE finds the frequency in the redirection information is the same as the frequency linked with satellite assistance information in </w:t>
      </w:r>
      <w:proofErr w:type="spellStart"/>
      <w:r>
        <w:rPr>
          <w:b/>
          <w:bCs/>
        </w:rPr>
        <w:t>SIB24</w:t>
      </w:r>
      <w:proofErr w:type="spellEnd"/>
      <w:r>
        <w:rPr>
          <w:b/>
          <w:bCs/>
        </w:rPr>
        <w:t>, UE consider</w:t>
      </w:r>
      <w:r w:rsidR="00E60512">
        <w:rPr>
          <w:b/>
          <w:bCs/>
        </w:rPr>
        <w:t>s</w:t>
      </w:r>
      <w:r>
        <w:rPr>
          <w:b/>
          <w:bCs/>
        </w:rPr>
        <w:t xml:space="preserve"> it as an NTN frequency and reuses the corresponding satellite assistance information for measurements. Otherwise, UE considers the frequency in the redirection information as a TN frequency. </w:t>
      </w:r>
    </w:p>
    <w:p w14:paraId="74EF21B6" w14:textId="4187976B" w:rsidR="00D34F2D" w:rsidRDefault="009D7C35" w:rsidP="00EB37B9">
      <w:pPr>
        <w:spacing w:before="120" w:after="120" w:line="240" w:lineRule="auto"/>
        <w:jc w:val="both"/>
      </w:pPr>
      <w:r>
        <w:t>Besides, to enable the network to decide how to set the frequency and whether to support the redirection from LTE TN to NR NTN, a signalled UE capability for redirection can be supported.</w:t>
      </w:r>
    </w:p>
    <w:p w14:paraId="5F2CD697" w14:textId="4845FC32" w:rsidR="007E048F" w:rsidRPr="001C201B" w:rsidRDefault="009D7C35" w:rsidP="009D7C35">
      <w:pPr>
        <w:spacing w:before="120" w:after="120" w:line="240" w:lineRule="auto"/>
        <w:jc w:val="both"/>
        <w:rPr>
          <w:b/>
          <w:bCs/>
        </w:rPr>
      </w:pPr>
      <w:r>
        <w:rPr>
          <w:b/>
          <w:bCs/>
        </w:rPr>
        <w:t>Proposal 2</w:t>
      </w:r>
      <w:r w:rsidRPr="00FC16D8">
        <w:rPr>
          <w:b/>
          <w:bCs/>
        </w:rPr>
        <w:t xml:space="preserve">: </w:t>
      </w:r>
      <w:r>
        <w:rPr>
          <w:b/>
          <w:bCs/>
        </w:rPr>
        <w:t>A signalled UE capability on whether to support the redirection from LTE TN frequency to NR NTN frequency is introduced.</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561C9F07"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1C201B">
        <w:rPr>
          <w:rStyle w:val="IvDbodytextChar"/>
          <w:rFonts w:ascii="Times New Roman" w:hAnsi="Times New Roman" w:cs="Times New Roman"/>
          <w:sz w:val="20"/>
          <w:szCs w:val="20"/>
          <w:lang w:eastAsia="zh-CN"/>
        </w:rPr>
        <w:t xml:space="preserve"> redirection issue from LTE TN to NR 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02C7C667" w14:textId="70273040" w:rsidR="009D7C35" w:rsidRDefault="009D7C35" w:rsidP="009D7C35">
      <w:pPr>
        <w:spacing w:after="120" w:line="240" w:lineRule="auto"/>
        <w:jc w:val="both"/>
        <w:rPr>
          <w:b/>
          <w:bCs/>
        </w:rPr>
      </w:pPr>
      <w:r w:rsidRPr="00855AFC">
        <w:rPr>
          <w:b/>
          <w:bCs/>
        </w:rPr>
        <w:t xml:space="preserve">Observation 1: </w:t>
      </w:r>
      <w:r>
        <w:rPr>
          <w:b/>
          <w:bCs/>
        </w:rPr>
        <w:t>Up to implementation, NW configure</w:t>
      </w:r>
      <w:r w:rsidR="00C0713B">
        <w:rPr>
          <w:b/>
          <w:bCs/>
        </w:rPr>
        <w:t>s</w:t>
      </w:r>
      <w:r>
        <w:rPr>
          <w:b/>
          <w:bCs/>
        </w:rPr>
        <w:t xml:space="preserve"> the NTN frequency within the redirection information within the </w:t>
      </w:r>
      <w:proofErr w:type="spellStart"/>
      <w:r>
        <w:rPr>
          <w:b/>
          <w:bCs/>
        </w:rPr>
        <w:t>RRCConnectionRelease</w:t>
      </w:r>
      <w:proofErr w:type="spellEnd"/>
      <w:r>
        <w:rPr>
          <w:b/>
          <w:bCs/>
        </w:rPr>
        <w:t xml:space="preserve"> message.</w:t>
      </w:r>
    </w:p>
    <w:p w14:paraId="05204E07" w14:textId="77777777" w:rsidR="009D7C35" w:rsidRDefault="009D7C35" w:rsidP="009D7C35">
      <w:pPr>
        <w:spacing w:before="120" w:after="120" w:line="240" w:lineRule="auto"/>
        <w:jc w:val="both"/>
        <w:rPr>
          <w:b/>
          <w:bCs/>
        </w:rPr>
      </w:pPr>
      <w:r w:rsidRPr="00855AFC">
        <w:rPr>
          <w:b/>
          <w:bCs/>
        </w:rPr>
        <w:t xml:space="preserve">Observation </w:t>
      </w:r>
      <w:r>
        <w:rPr>
          <w:b/>
          <w:bCs/>
        </w:rPr>
        <w:t>2</w:t>
      </w:r>
      <w:r w:rsidRPr="00855AFC">
        <w:rPr>
          <w:b/>
          <w:bCs/>
        </w:rPr>
        <w:t>:</w:t>
      </w:r>
      <w:r>
        <w:rPr>
          <w:b/>
          <w:bCs/>
        </w:rPr>
        <w:t xml:space="preserve"> UE cannot distinguish whether the redirection frequency is an NR TN frequency or an NR NTN frequency.</w:t>
      </w:r>
    </w:p>
    <w:p w14:paraId="762FEA4C" w14:textId="5302BD5A" w:rsidR="009D7C35" w:rsidRDefault="009D7C35" w:rsidP="009D7C35">
      <w:pPr>
        <w:spacing w:before="120" w:after="120" w:line="240" w:lineRule="auto"/>
        <w:jc w:val="both"/>
        <w:rPr>
          <w:b/>
          <w:bCs/>
        </w:rPr>
      </w:pPr>
      <w:r>
        <w:rPr>
          <w:b/>
          <w:bCs/>
        </w:rPr>
        <w:t>Proposal 1</w:t>
      </w:r>
      <w:r w:rsidRPr="00FC16D8">
        <w:rPr>
          <w:b/>
          <w:bCs/>
        </w:rPr>
        <w:t xml:space="preserve">: </w:t>
      </w:r>
      <w:r>
        <w:rPr>
          <w:b/>
          <w:bCs/>
        </w:rPr>
        <w:t xml:space="preserve">If UE finds the frequency in the redirection information is the same as the frequency linked with satellite assistance information in </w:t>
      </w:r>
      <w:proofErr w:type="spellStart"/>
      <w:r>
        <w:rPr>
          <w:b/>
          <w:bCs/>
        </w:rPr>
        <w:t>SIB24</w:t>
      </w:r>
      <w:proofErr w:type="spellEnd"/>
      <w:r>
        <w:rPr>
          <w:b/>
          <w:bCs/>
        </w:rPr>
        <w:t>, UE consider</w:t>
      </w:r>
      <w:r w:rsidR="00E60512">
        <w:rPr>
          <w:b/>
          <w:bCs/>
        </w:rPr>
        <w:t>s</w:t>
      </w:r>
      <w:r>
        <w:rPr>
          <w:b/>
          <w:bCs/>
        </w:rPr>
        <w:t xml:space="preserve"> it as an NTN frequency and reuses the corresponding </w:t>
      </w:r>
      <w:r>
        <w:rPr>
          <w:b/>
          <w:bCs/>
        </w:rPr>
        <w:lastRenderedPageBreak/>
        <w:t xml:space="preserve">satellite assistance information for measurements. Otherwise, UE considers the frequency in the redirection information as a TN frequency. </w:t>
      </w:r>
    </w:p>
    <w:p w14:paraId="7210847C" w14:textId="2821E571" w:rsidR="004B0664" w:rsidRPr="001C201B" w:rsidRDefault="009D7C35" w:rsidP="009D7C35">
      <w:pPr>
        <w:spacing w:before="120" w:after="120" w:line="240" w:lineRule="auto"/>
        <w:jc w:val="both"/>
        <w:rPr>
          <w:b/>
          <w:bCs/>
        </w:rPr>
      </w:pPr>
      <w:r>
        <w:rPr>
          <w:b/>
          <w:bCs/>
        </w:rPr>
        <w:t>Proposal 2</w:t>
      </w:r>
      <w:r w:rsidRPr="00FC16D8">
        <w:rPr>
          <w:b/>
          <w:bCs/>
        </w:rPr>
        <w:t xml:space="preserve">: </w:t>
      </w:r>
      <w:r>
        <w:rPr>
          <w:b/>
          <w:bCs/>
        </w:rPr>
        <w:t>A signalled UE capability on whether to support the redirection from LTE TN frequency to NR NTN frequency is introduced.</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5BDD6EF1" w14:textId="1A97844B" w:rsidR="005E4B4D" w:rsidRDefault="005E4B4D"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proofErr w:type="spellStart"/>
      <w:r w:rsidRPr="005E4B4D">
        <w:rPr>
          <w:rFonts w:eastAsia="宋体" w:cs="Arial"/>
          <w:bCs/>
          <w:lang w:eastAsia="zh-CN"/>
        </w:rPr>
        <w:t>R2</w:t>
      </w:r>
      <w:proofErr w:type="spellEnd"/>
      <w:r w:rsidRPr="005E4B4D">
        <w:rPr>
          <w:rFonts w:eastAsia="宋体" w:cs="Arial"/>
          <w:bCs/>
          <w:lang w:eastAsia="zh-CN"/>
        </w:rPr>
        <w:t>-2409213</w:t>
      </w:r>
      <w:r>
        <w:rPr>
          <w:rFonts w:eastAsia="宋体" w:cs="Arial"/>
          <w:bCs/>
          <w:lang w:eastAsia="zh-CN"/>
        </w:rPr>
        <w:t xml:space="preserve">, </w:t>
      </w:r>
      <w:r w:rsidRPr="005E4B4D">
        <w:rPr>
          <w:rFonts w:eastAsia="宋体" w:cs="Arial"/>
          <w:bCs/>
          <w:lang w:eastAsia="zh-CN"/>
        </w:rPr>
        <w:t>Report from Break-out session on NR-NTN and IoT-NTN</w:t>
      </w:r>
      <w:r>
        <w:rPr>
          <w:rFonts w:eastAsia="宋体" w:cs="Arial"/>
          <w:bCs/>
          <w:lang w:eastAsia="zh-CN"/>
        </w:rPr>
        <w:t>.</w:t>
      </w:r>
    </w:p>
    <w:p w14:paraId="3AF0B2DA" w14:textId="7881F6C5" w:rsidR="009D7C35" w:rsidRDefault="0046529B" w:rsidP="009D7C35">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proofErr w:type="spellStart"/>
      <w:r w:rsidRPr="0046529B">
        <w:rPr>
          <w:rFonts w:eastAsia="宋体" w:cs="Arial"/>
          <w:bCs/>
          <w:lang w:eastAsia="zh-CN"/>
        </w:rPr>
        <w:t>Draft_RAN2_128_Meeting_Report_v1</w:t>
      </w:r>
      <w:proofErr w:type="spellEnd"/>
      <w:r w:rsidR="009D7C35">
        <w:rPr>
          <w:rFonts w:eastAsia="宋体" w:cs="Arial"/>
          <w:bCs/>
          <w:lang w:eastAsia="zh-CN"/>
        </w:rPr>
        <w:t>.</w:t>
      </w:r>
    </w:p>
    <w:p w14:paraId="0CA3F8B6" w14:textId="337BD2E9" w:rsidR="000226F3" w:rsidRDefault="000226F3"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proofErr w:type="spellStart"/>
      <w:r w:rsidRPr="00990849">
        <w:rPr>
          <w:rFonts w:eastAsia="宋体" w:cs="Arial"/>
          <w:bCs/>
          <w:lang w:eastAsia="zh-CN"/>
        </w:rPr>
        <w:t>TS36.331</w:t>
      </w:r>
      <w:proofErr w:type="spellEnd"/>
      <w:r w:rsidRPr="00990849">
        <w:rPr>
          <w:rFonts w:eastAsia="宋体" w:cs="Arial"/>
          <w:bCs/>
          <w:lang w:eastAsia="zh-CN"/>
        </w:rPr>
        <w:t>, Evolved Universal Terrestrial Radio Access (E-</w:t>
      </w:r>
      <w:proofErr w:type="spellStart"/>
      <w:r w:rsidRPr="00990849">
        <w:rPr>
          <w:rFonts w:eastAsia="宋体" w:cs="Arial"/>
          <w:bCs/>
          <w:lang w:eastAsia="zh-CN"/>
        </w:rPr>
        <w:t>UTRA</w:t>
      </w:r>
      <w:proofErr w:type="spellEnd"/>
      <w:r w:rsidRPr="00990849">
        <w:rPr>
          <w:rFonts w:eastAsia="宋体" w:cs="Arial"/>
          <w:bCs/>
          <w:lang w:eastAsia="zh-CN"/>
        </w:rPr>
        <w:t>); Radio Resource Control (RRC); Protocol specification</w:t>
      </w:r>
      <w:r w:rsidR="0046529B">
        <w:rPr>
          <w:rFonts w:eastAsia="宋体" w:cs="Arial"/>
          <w:bCs/>
          <w:lang w:eastAsia="zh-CN"/>
        </w:rPr>
        <w:t>.</w:t>
      </w:r>
    </w:p>
    <w:p w14:paraId="0A540F10" w14:textId="4D43C6D1" w:rsidR="0046529B" w:rsidRDefault="0046529B" w:rsidP="0046529B">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46529B">
        <w:rPr>
          <w:rFonts w:eastAsia="宋体" w:cs="Arial"/>
          <w:bCs/>
          <w:lang w:eastAsia="zh-CN"/>
        </w:rPr>
        <w:t>38.101</w:t>
      </w:r>
      <w:r>
        <w:rPr>
          <w:rFonts w:eastAsia="宋体" w:cs="Arial"/>
          <w:bCs/>
          <w:lang w:eastAsia="zh-CN"/>
        </w:rPr>
        <w:t xml:space="preserve">-1, </w:t>
      </w:r>
      <w:r w:rsidRPr="0046529B">
        <w:rPr>
          <w:rFonts w:eastAsia="宋体" w:cs="Arial"/>
          <w:bCs/>
          <w:lang w:eastAsia="zh-CN"/>
        </w:rPr>
        <w:t>NR; User Equipment (UE) radio transmission and reception; Part 1: Range 1 Standalone</w:t>
      </w:r>
      <w:r>
        <w:rPr>
          <w:rFonts w:eastAsia="宋体" w:cs="Arial"/>
          <w:bCs/>
          <w:lang w:eastAsia="zh-CN"/>
        </w:rPr>
        <w:t>.</w:t>
      </w:r>
    </w:p>
    <w:p w14:paraId="3C2F3171" w14:textId="16E6E8C0" w:rsidR="0046529B" w:rsidRPr="0046529B" w:rsidRDefault="0046529B" w:rsidP="0046529B">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46529B">
        <w:rPr>
          <w:rFonts w:eastAsia="宋体" w:cs="Arial"/>
          <w:bCs/>
          <w:lang w:eastAsia="zh-CN"/>
        </w:rPr>
        <w:t>38.101</w:t>
      </w:r>
      <w:r>
        <w:rPr>
          <w:rFonts w:eastAsia="宋体" w:cs="Arial"/>
          <w:bCs/>
          <w:lang w:eastAsia="zh-CN"/>
        </w:rPr>
        <w:t xml:space="preserve">-5, </w:t>
      </w:r>
      <w:r w:rsidRPr="0046529B">
        <w:rPr>
          <w:rFonts w:eastAsia="宋体" w:cs="Arial"/>
          <w:bCs/>
          <w:lang w:eastAsia="zh-CN"/>
        </w:rPr>
        <w:t>NR; User Equipment (UE) radio transmission and reception; Part 5: Satellite access Radio Frequency (RF) and performance requirements</w:t>
      </w:r>
      <w:r>
        <w:rPr>
          <w:rFonts w:eastAsia="宋体" w:cs="Arial"/>
          <w:bCs/>
          <w:lang w:eastAsia="zh-CN"/>
        </w:rPr>
        <w:t>.</w:t>
      </w:r>
    </w:p>
    <w:sectPr w:rsidR="0046529B" w:rsidRPr="0046529B">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C966E" w14:textId="77777777" w:rsidR="00FC7760" w:rsidRDefault="00FC7760">
      <w:pPr>
        <w:spacing w:after="0" w:line="240" w:lineRule="auto"/>
      </w:pPr>
      <w:r>
        <w:separator/>
      </w:r>
    </w:p>
  </w:endnote>
  <w:endnote w:type="continuationSeparator" w:id="0">
    <w:p w14:paraId="4607E9A5" w14:textId="77777777" w:rsidR="00FC7760" w:rsidRDefault="00FC7760">
      <w:pPr>
        <w:spacing w:after="0" w:line="240" w:lineRule="auto"/>
      </w:pPr>
      <w:r>
        <w:continuationSeparator/>
      </w:r>
    </w:p>
  </w:endnote>
  <w:endnote w:type="continuationNotice" w:id="1">
    <w:p w14:paraId="3479B25E" w14:textId="77777777" w:rsidR="00FC7760" w:rsidRDefault="00FC77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E4ED7" w14:textId="77777777" w:rsidR="00FC7760" w:rsidRDefault="00FC7760">
      <w:pPr>
        <w:spacing w:after="0" w:line="240" w:lineRule="auto"/>
      </w:pPr>
      <w:r>
        <w:separator/>
      </w:r>
    </w:p>
  </w:footnote>
  <w:footnote w:type="continuationSeparator" w:id="0">
    <w:p w14:paraId="4CF3F8D3" w14:textId="77777777" w:rsidR="00FC7760" w:rsidRDefault="00FC7760">
      <w:pPr>
        <w:spacing w:after="0" w:line="240" w:lineRule="auto"/>
      </w:pPr>
      <w:r>
        <w:continuationSeparator/>
      </w:r>
    </w:p>
  </w:footnote>
  <w:footnote w:type="continuationNotice" w:id="1">
    <w:p w14:paraId="28DC1F7F" w14:textId="77777777" w:rsidR="00FC7760" w:rsidRDefault="00FC77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7"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9"/>
  </w:num>
  <w:num w:numId="3">
    <w:abstractNumId w:val="0"/>
  </w:num>
  <w:num w:numId="4">
    <w:abstractNumId w:val="8"/>
  </w:num>
  <w:num w:numId="5">
    <w:abstractNumId w:val="5"/>
  </w:num>
  <w:num w:numId="6">
    <w:abstractNumId w:val="18"/>
  </w:num>
  <w:num w:numId="7">
    <w:abstractNumId w:val="23"/>
  </w:num>
  <w:num w:numId="8">
    <w:abstractNumId w:val="15"/>
  </w:num>
  <w:num w:numId="9">
    <w:abstractNumId w:val="14"/>
  </w:num>
  <w:num w:numId="10">
    <w:abstractNumId w:val="24"/>
  </w:num>
  <w:num w:numId="11">
    <w:abstractNumId w:val="24"/>
  </w:num>
  <w:num w:numId="12">
    <w:abstractNumId w:val="24"/>
  </w:num>
  <w:num w:numId="13">
    <w:abstractNumId w:val="24"/>
  </w:num>
  <w:num w:numId="14">
    <w:abstractNumId w:val="24"/>
  </w:num>
  <w:num w:numId="15">
    <w:abstractNumId w:val="24"/>
  </w:num>
  <w:num w:numId="16">
    <w:abstractNumId w:val="24"/>
  </w:num>
  <w:num w:numId="17">
    <w:abstractNumId w:val="24"/>
  </w:num>
  <w:num w:numId="18">
    <w:abstractNumId w:val="16"/>
  </w:num>
  <w:num w:numId="19">
    <w:abstractNumId w:val="12"/>
  </w:num>
  <w:num w:numId="20">
    <w:abstractNumId w:val="22"/>
  </w:num>
  <w:num w:numId="21">
    <w:abstractNumId w:val="26"/>
  </w:num>
  <w:num w:numId="22">
    <w:abstractNumId w:val="9"/>
  </w:num>
  <w:num w:numId="23">
    <w:abstractNumId w:val="20"/>
  </w:num>
  <w:num w:numId="24">
    <w:abstractNumId w:val="2"/>
  </w:num>
  <w:num w:numId="25">
    <w:abstractNumId w:val="1"/>
  </w:num>
  <w:num w:numId="26">
    <w:abstractNumId w:val="10"/>
  </w:num>
  <w:num w:numId="27">
    <w:abstractNumId w:val="11"/>
  </w:num>
  <w:num w:numId="28">
    <w:abstractNumId w:val="3"/>
  </w:num>
  <w:num w:numId="29">
    <w:abstractNumId w:val="17"/>
  </w:num>
  <w:num w:numId="30">
    <w:abstractNumId w:val="6"/>
  </w:num>
  <w:num w:numId="31">
    <w:abstractNumId w:val="21"/>
  </w:num>
  <w:num w:numId="32">
    <w:abstractNumId w:val="7"/>
  </w:num>
  <w:num w:numId="33">
    <w:abstractNumId w:val="4"/>
  </w:num>
  <w:num w:numId="34">
    <w:abstractNumId w:val="25"/>
  </w:num>
  <w:num w:numId="35">
    <w:abstractNumId w:val="13"/>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displayBackgroundShap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o:colormru v:ext="edit" colors="#cae6ca,#c7ecc8"/>
      <o:colormenu v:ext="edit" fillcolor="none [3212]"/>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OsBQAYM8ui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6F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40"/>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0E"/>
    <w:rsid w:val="00340047"/>
    <w:rsid w:val="0034044D"/>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29B"/>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82A"/>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251"/>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5D0"/>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3CE7"/>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301"/>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CEA"/>
    <w:rsid w:val="007D6FD3"/>
    <w:rsid w:val="007D704D"/>
    <w:rsid w:val="007D7241"/>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CB5"/>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D7C35"/>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60AC"/>
    <w:rsid w:val="00BA61B4"/>
    <w:rsid w:val="00BA6553"/>
    <w:rsid w:val="00BA6A99"/>
    <w:rsid w:val="00BA6DCE"/>
    <w:rsid w:val="00BA6F72"/>
    <w:rsid w:val="00BA7317"/>
    <w:rsid w:val="00BA739D"/>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13B"/>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BA5"/>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15"/>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CC9"/>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4F2D"/>
    <w:rsid w:val="00D3527C"/>
    <w:rsid w:val="00D3531D"/>
    <w:rsid w:val="00D3546D"/>
    <w:rsid w:val="00D35B42"/>
    <w:rsid w:val="00D36D6E"/>
    <w:rsid w:val="00D36E2F"/>
    <w:rsid w:val="00D3722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661"/>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B5"/>
    <w:rsid w:val="00D933C3"/>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0B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512"/>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0D"/>
    <w:rsid w:val="00ED7547"/>
    <w:rsid w:val="00ED7F6A"/>
    <w:rsid w:val="00EE004B"/>
    <w:rsid w:val="00EE02F0"/>
    <w:rsid w:val="00EE0B7B"/>
    <w:rsid w:val="00EE113B"/>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427B"/>
    <w:rsid w:val="00F443F7"/>
    <w:rsid w:val="00F445C5"/>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5BFF"/>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6D8"/>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cae6ca,#c7ecc8"/>
      <o:colormenu v:ext="edit" fillcolor="none [3212]"/>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E02403-1AF7-4C1E-86B1-B3CC50AF6C50}">
  <ds:schemaRefs>
    <ds:schemaRef ds:uri="http://schemas.microsoft.com/office/2006/metadata/properties"/>
    <ds:schemaRef ds:uri="http://www.w3.org/XML/1998/namespace"/>
    <ds:schemaRef ds:uri="1c248485-b98a-4513-a581-ff7cb1688d78"/>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98194d48-cc26-4b7e-909f-baa95c83abfa"/>
    <ds:schemaRef ds:uri="http://purl.org/dc/elements/1.1/"/>
  </ds:schemaRefs>
</ds:datastoreItem>
</file>

<file path=customXml/itemProps2.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A197446-709F-4B1C-BE90-E58C2D6BB094}">
  <ds:schemaRefs>
    <ds:schemaRef ds:uri="http://schemas.openxmlformats.org/officeDocument/2006/bibliography"/>
  </ds:schemaRefs>
</ds:datastoreItem>
</file>

<file path=customXml/itemProps5.xml><?xml version="1.0" encoding="utf-8"?>
<ds:datastoreItem xmlns:ds="http://schemas.openxmlformats.org/officeDocument/2006/customXml" ds:itemID="{7B95558F-ED98-472F-8A0F-501F2D2E5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1117</Words>
  <Characters>5851</Characters>
  <Application>Microsoft Office Word</Application>
  <DocSecurity>0</DocSecurity>
  <Lines>176</Lines>
  <Paragraphs>128</Paragraphs>
  <ScaleCrop>false</ScaleCrop>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2024-09-18T02:04:00Z</dcterms:created>
  <dcterms:modified xsi:type="dcterms:W3CDTF">2025-02-07T03:40:00Z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